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EB5B7" w14:textId="77777777" w:rsidR="004E5CC6" w:rsidRDefault="00DB20B6" w:rsidP="004E5CC6">
      <w:pPr>
        <w:jc w:val="center"/>
        <w:rPr>
          <w:b/>
        </w:rPr>
      </w:pPr>
      <w:r w:rsidRPr="00CF755B">
        <w:rPr>
          <w:b/>
        </w:rPr>
        <w:t>OBRAZLOŽENJE FINANCIJSKOG PLANA</w:t>
      </w:r>
      <w:r w:rsidR="004E5CC6">
        <w:rPr>
          <w:b/>
        </w:rPr>
        <w:t xml:space="preserve"> </w:t>
      </w:r>
      <w:r w:rsidR="00E3649C" w:rsidRPr="00CF755B">
        <w:rPr>
          <w:b/>
        </w:rPr>
        <w:t xml:space="preserve">LUČKE UPRAVE SENJ </w:t>
      </w:r>
    </w:p>
    <w:p w14:paraId="71586738" w14:textId="545BF83A" w:rsidR="00DB20B6" w:rsidRPr="00CF755B" w:rsidRDefault="00E3649C" w:rsidP="004E5CC6">
      <w:pPr>
        <w:jc w:val="center"/>
        <w:rPr>
          <w:b/>
        </w:rPr>
      </w:pPr>
      <w:r w:rsidRPr="00CF755B">
        <w:rPr>
          <w:b/>
        </w:rPr>
        <w:t>ZA 2025</w:t>
      </w:r>
      <w:r w:rsidR="00DB20B6" w:rsidRPr="00CF755B">
        <w:rPr>
          <w:b/>
        </w:rPr>
        <w:t>. GODINU</w:t>
      </w:r>
    </w:p>
    <w:p w14:paraId="242F5FE0" w14:textId="77777777" w:rsidR="001138C4" w:rsidRDefault="001138C4" w:rsidP="00DB20B6">
      <w:pPr>
        <w:rPr>
          <w:b/>
        </w:rPr>
      </w:pPr>
    </w:p>
    <w:p w14:paraId="682F345B" w14:textId="77777777" w:rsidR="00DA08BC" w:rsidRPr="00CF755B" w:rsidRDefault="00DA08BC" w:rsidP="00DB20B6">
      <w:pPr>
        <w:rPr>
          <w:b/>
        </w:rPr>
      </w:pPr>
    </w:p>
    <w:p w14:paraId="71C1184C" w14:textId="17CE0111" w:rsidR="00F945E0" w:rsidRDefault="00DB20B6" w:rsidP="00DB20B6">
      <w:pPr>
        <w:rPr>
          <w:b/>
        </w:rPr>
      </w:pPr>
      <w:r w:rsidRPr="00CF755B">
        <w:rPr>
          <w:b/>
        </w:rPr>
        <w:t>UVOD</w:t>
      </w:r>
    </w:p>
    <w:p w14:paraId="393507F6" w14:textId="77777777" w:rsidR="00F945E0" w:rsidRPr="00CF755B" w:rsidRDefault="00F945E0" w:rsidP="00DB20B6">
      <w:pPr>
        <w:rPr>
          <w:b/>
        </w:rPr>
      </w:pPr>
    </w:p>
    <w:p w14:paraId="620EB8A6" w14:textId="77777777" w:rsidR="00DB20B6" w:rsidRPr="00CF755B" w:rsidRDefault="00DB20B6" w:rsidP="00DB20B6">
      <w:pPr>
        <w:ind w:firstLine="360"/>
        <w:jc w:val="both"/>
        <w:rPr>
          <w:color w:val="231F20"/>
          <w:shd w:val="clear" w:color="auto" w:fill="FFFFFF"/>
        </w:rPr>
      </w:pPr>
      <w:r w:rsidRPr="00CF755B">
        <w:t xml:space="preserve">Na proces planiranja i financijskog poslovanja Lučke uprave Senj primjenjuju se Zakon o financijskom poslovanju i računovodstvu neprofitnih organizacija („Narodne novine“ broj 121/14 i 114/22), Pravilnik o neprofitnom računovodstvu i Računskom planu („Narodne novine“ broj 1/15, 25/17, 96/18, 103/18 i 134/22), Pravilnik o izvještavanju u neprofitnom računovodstvu i registru neprofitnih organizacija („Narodne novine“ broj </w:t>
      </w:r>
      <w:r w:rsidRPr="00CF755B">
        <w:rPr>
          <w:color w:val="231F20"/>
          <w:shd w:val="clear" w:color="auto" w:fill="FFFFFF"/>
        </w:rPr>
        <w:t>31/15, 67/17 i 115/18</w:t>
      </w:r>
      <w:r w:rsidRPr="00CF755B">
        <w:t xml:space="preserve"> i 21/21) i Pravilnik o sustavu financijskog upravljanja i kontrola te izradi i izvršavanju financijskih planova neprofitnih organizacija („Narodne novine“ broj </w:t>
      </w:r>
      <w:r w:rsidRPr="00CF755B">
        <w:rPr>
          <w:color w:val="231F20"/>
          <w:shd w:val="clear" w:color="auto" w:fill="FFFFFF"/>
        </w:rPr>
        <w:t>119/15 i 134/22).</w:t>
      </w:r>
    </w:p>
    <w:p w14:paraId="69CEB548" w14:textId="77777777" w:rsidR="00DB20B6" w:rsidRPr="00CF755B" w:rsidRDefault="00DB20B6" w:rsidP="00DB20B6">
      <w:pPr>
        <w:ind w:firstLine="360"/>
        <w:jc w:val="both"/>
      </w:pPr>
      <w:r w:rsidRPr="00CF755B">
        <w:t xml:space="preserve">Plan prihoda i rashoda mora se izrađivati i donositi najmanje na razini skupine računa iz Računskog plana za neprofitne organizacije. Obvezni, Zakonom propisani dijelovi financijskog plana su plan prihoda i rashoda, plan zaduživanja i otplata i obrazloženje financijskog plana. </w:t>
      </w:r>
    </w:p>
    <w:p w14:paraId="487DE718" w14:textId="77777777" w:rsidR="001138C4" w:rsidRDefault="001138C4" w:rsidP="00DB20B6">
      <w:pPr>
        <w:jc w:val="both"/>
        <w:rPr>
          <w:b/>
        </w:rPr>
      </w:pPr>
    </w:p>
    <w:p w14:paraId="211771F1" w14:textId="77777777" w:rsidR="001138C4" w:rsidRPr="00CF755B" w:rsidRDefault="001138C4" w:rsidP="00DB20B6">
      <w:pPr>
        <w:jc w:val="both"/>
        <w:rPr>
          <w:b/>
        </w:rPr>
      </w:pPr>
    </w:p>
    <w:p w14:paraId="54C11769" w14:textId="05A011E2" w:rsidR="001138C4" w:rsidRDefault="001138C4" w:rsidP="00DB20B6">
      <w:pPr>
        <w:jc w:val="both"/>
        <w:rPr>
          <w:b/>
        </w:rPr>
      </w:pPr>
      <w:r>
        <w:rPr>
          <w:b/>
        </w:rPr>
        <w:t>PRIHODI</w:t>
      </w:r>
    </w:p>
    <w:p w14:paraId="2715FD30" w14:textId="77777777" w:rsidR="00F945E0" w:rsidRPr="001138C4" w:rsidRDefault="00F945E0" w:rsidP="00DB20B6">
      <w:pPr>
        <w:jc w:val="both"/>
        <w:rPr>
          <w:b/>
        </w:rPr>
      </w:pPr>
    </w:p>
    <w:p w14:paraId="129111F8" w14:textId="70BD009D" w:rsidR="00DB20B6" w:rsidRPr="00CF755B" w:rsidRDefault="00DB20B6" w:rsidP="003D6211">
      <w:pPr>
        <w:ind w:right="-2" w:firstLine="426"/>
        <w:jc w:val="both"/>
      </w:pPr>
      <w:r w:rsidRPr="00CF755B">
        <w:t xml:space="preserve">Financijskim </w:t>
      </w:r>
      <w:r w:rsidR="00E3649C" w:rsidRPr="00CF755B">
        <w:t>planom Lučke uprave Senj za 2025</w:t>
      </w:r>
      <w:r w:rsidRPr="00CF755B">
        <w:t>. godinu predlaže se ostva</w:t>
      </w:r>
      <w:r w:rsidR="00E3649C" w:rsidRPr="00CF755B">
        <w:t>renje prihoda u iznosu od 1.</w:t>
      </w:r>
      <w:r w:rsidR="00102CBD">
        <w:t>201.200</w:t>
      </w:r>
      <w:r w:rsidR="00E3649C" w:rsidRPr="00CF755B">
        <w:t>,00 eura. Projekcijom za 2026</w:t>
      </w:r>
      <w:r w:rsidRPr="00CF755B">
        <w:t>. godinu prihodi se planiraju u iznosu</w:t>
      </w:r>
      <w:r w:rsidR="00E3649C" w:rsidRPr="00CF755B">
        <w:t xml:space="preserve"> od </w:t>
      </w:r>
      <w:r w:rsidR="00102CBD">
        <w:t>1.212</w:t>
      </w:r>
      <w:r w:rsidR="00E3649C" w:rsidRPr="00CF755B">
        <w:t>.</w:t>
      </w:r>
      <w:r w:rsidR="00102CBD">
        <w:t>2</w:t>
      </w:r>
      <w:r w:rsidR="00E3649C" w:rsidRPr="00CF755B">
        <w:t>00,00 eura, a za 2027</w:t>
      </w:r>
      <w:r w:rsidRPr="00CF755B">
        <w:t xml:space="preserve">. godinu u iznosu od </w:t>
      </w:r>
      <w:r w:rsidR="00102CBD">
        <w:t>1.243</w:t>
      </w:r>
      <w:r w:rsidR="00E3649C" w:rsidRPr="00CF755B">
        <w:t>.</w:t>
      </w:r>
      <w:r w:rsidR="00102CBD">
        <w:t>2</w:t>
      </w:r>
      <w:r w:rsidRPr="00CF755B">
        <w:t>00,00 eura.</w:t>
      </w:r>
    </w:p>
    <w:p w14:paraId="626B0061" w14:textId="4004AB2B" w:rsidR="00DB20B6" w:rsidRPr="00CF755B" w:rsidRDefault="00DB20B6" w:rsidP="003D6211">
      <w:pPr>
        <w:ind w:right="-2" w:firstLine="426"/>
        <w:jc w:val="both"/>
      </w:pPr>
      <w:r w:rsidRPr="00CF755B">
        <w:t xml:space="preserve">Prikaz prihoda Lučke uprave Senj za </w:t>
      </w:r>
      <w:r w:rsidR="00E3649C" w:rsidRPr="00CF755B">
        <w:t>2025</w:t>
      </w:r>
      <w:r w:rsidRPr="00CF755B">
        <w:t>. godinu dat je u tablici 1.</w:t>
      </w:r>
    </w:p>
    <w:p w14:paraId="3B16BC8F" w14:textId="77777777" w:rsidR="00052C03" w:rsidRDefault="00052C03" w:rsidP="00052C03">
      <w:pPr>
        <w:ind w:firstLine="708"/>
        <w:jc w:val="both"/>
        <w:rPr>
          <w:bCs/>
          <w:u w:val="single"/>
        </w:rPr>
      </w:pPr>
    </w:p>
    <w:p w14:paraId="673F045B" w14:textId="29BDFD40" w:rsidR="00ED002A" w:rsidRDefault="00ED002A" w:rsidP="00052C03">
      <w:pPr>
        <w:ind w:firstLine="708"/>
        <w:jc w:val="both"/>
        <w:rPr>
          <w:rFonts w:ascii="Calibri" w:hAnsi="Calibri" w:cs="Arial"/>
          <w:bCs/>
          <w:sz w:val="22"/>
          <w:szCs w:val="20"/>
          <w:u w:val="single"/>
        </w:rPr>
      </w:pPr>
    </w:p>
    <w:tbl>
      <w:tblPr>
        <w:tblW w:w="10615" w:type="dxa"/>
        <w:jc w:val="center"/>
        <w:tblLook w:val="04A0" w:firstRow="1" w:lastRow="0" w:firstColumn="1" w:lastColumn="0" w:noHBand="0" w:noVBand="1"/>
      </w:tblPr>
      <w:tblGrid>
        <w:gridCol w:w="766"/>
        <w:gridCol w:w="4780"/>
        <w:gridCol w:w="1371"/>
        <w:gridCol w:w="1318"/>
        <w:gridCol w:w="1375"/>
        <w:gridCol w:w="1005"/>
      </w:tblGrid>
      <w:tr w:rsidR="00CF755B" w:rsidRPr="00CF755B" w14:paraId="360D2FF9" w14:textId="77777777" w:rsidTr="00CF755B">
        <w:trPr>
          <w:trHeight w:val="300"/>
          <w:jc w:val="center"/>
        </w:trPr>
        <w:tc>
          <w:tcPr>
            <w:tcW w:w="9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8AA47" w14:textId="77777777" w:rsidR="00CF755B" w:rsidRDefault="00052C03" w:rsidP="00CF75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Tablica 1: Plan prihoda Lučke uprave Senj za 2025. godinu</w:t>
            </w:r>
          </w:p>
          <w:p w14:paraId="749CD452" w14:textId="78A93BD1" w:rsidR="00052C03" w:rsidRPr="00CF755B" w:rsidRDefault="00052C03" w:rsidP="00CF75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A41DA" w14:textId="77777777" w:rsidR="00CF755B" w:rsidRPr="00CF755B" w:rsidRDefault="00CF755B" w:rsidP="00CF75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55B">
              <w:rPr>
                <w:b/>
                <w:bCs/>
                <w:color w:val="000000"/>
                <w:sz w:val="20"/>
              </w:rPr>
              <w:t>u eurima</w:t>
            </w:r>
          </w:p>
        </w:tc>
      </w:tr>
      <w:tr w:rsidR="00CF755B" w:rsidRPr="00CF755B" w14:paraId="556862D7" w14:textId="77777777" w:rsidTr="00CF755B">
        <w:trPr>
          <w:trHeight w:val="285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F62CE3" w14:textId="77777777" w:rsidR="00CF755B" w:rsidRPr="00CF755B" w:rsidRDefault="00CF755B" w:rsidP="00CF75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755B">
              <w:rPr>
                <w:rFonts w:cs="Arial"/>
                <w:b/>
                <w:bCs/>
                <w:color w:val="000000"/>
                <w:sz w:val="20"/>
                <w:szCs w:val="20"/>
              </w:rPr>
              <w:t>Konto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24DA9B" w14:textId="77777777" w:rsidR="00CF755B" w:rsidRPr="00CF755B" w:rsidRDefault="00CF755B" w:rsidP="00CF75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55B">
              <w:rPr>
                <w:rFonts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E3337F" w14:textId="77777777" w:rsidR="00CF755B" w:rsidRPr="00CF755B" w:rsidRDefault="00CF755B" w:rsidP="00CF75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55B">
              <w:rPr>
                <w:rFonts w:cs="Arial"/>
                <w:b/>
                <w:bCs/>
                <w:color w:val="000000"/>
                <w:sz w:val="20"/>
                <w:szCs w:val="20"/>
              </w:rPr>
              <w:t>Plan za 2024.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3B31AD" w14:textId="77777777" w:rsidR="00CF755B" w:rsidRPr="00CF755B" w:rsidRDefault="00CF755B" w:rsidP="00CF75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55B">
              <w:rPr>
                <w:rFonts w:cs="Arial"/>
                <w:b/>
                <w:bCs/>
                <w:color w:val="000000"/>
                <w:sz w:val="20"/>
                <w:szCs w:val="20"/>
              </w:rPr>
              <w:t>Povećanje/</w:t>
            </w:r>
            <w:r w:rsidRPr="00CF755B">
              <w:rPr>
                <w:rFonts w:cs="Arial"/>
                <w:b/>
                <w:bCs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EDAFF0" w14:textId="77777777" w:rsidR="00CF755B" w:rsidRPr="00CF755B" w:rsidRDefault="00CF755B" w:rsidP="00CF75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55B">
              <w:rPr>
                <w:rFonts w:cs="Arial"/>
                <w:b/>
                <w:bCs/>
                <w:color w:val="000000"/>
                <w:sz w:val="20"/>
                <w:szCs w:val="20"/>
              </w:rPr>
              <w:t>Plan za 2025.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8347DA" w14:textId="77777777" w:rsidR="00CF755B" w:rsidRPr="00CF755B" w:rsidRDefault="00CF755B" w:rsidP="00CF75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55B">
              <w:rPr>
                <w:rFonts w:cs="Arial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CF755B" w:rsidRPr="00CF755B" w14:paraId="1A1010D8" w14:textId="77777777" w:rsidTr="00CF755B">
        <w:trPr>
          <w:trHeight w:val="285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BA7C" w14:textId="77777777" w:rsidR="00CF755B" w:rsidRPr="00CF755B" w:rsidRDefault="00CF755B" w:rsidP="00CF75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DB7F" w14:textId="77777777" w:rsidR="00CF755B" w:rsidRPr="00CF755B" w:rsidRDefault="00CF755B" w:rsidP="00CF75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76AC" w14:textId="77777777" w:rsidR="00CF755B" w:rsidRPr="00CF755B" w:rsidRDefault="00CF755B" w:rsidP="00CF75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6EAA" w14:textId="77777777" w:rsidR="00CF755B" w:rsidRPr="00CF755B" w:rsidRDefault="00CF755B" w:rsidP="00CF75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42DB" w14:textId="77777777" w:rsidR="00CF755B" w:rsidRPr="00CF755B" w:rsidRDefault="00CF755B" w:rsidP="00CF75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0F8FE5" w14:textId="77777777" w:rsidR="00CF755B" w:rsidRPr="00CF755B" w:rsidRDefault="00CF755B" w:rsidP="00CF75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755B">
              <w:rPr>
                <w:b/>
                <w:bCs/>
                <w:color w:val="000000"/>
                <w:sz w:val="20"/>
                <w:szCs w:val="20"/>
              </w:rPr>
              <w:t>(5/3*100)</w:t>
            </w:r>
          </w:p>
        </w:tc>
      </w:tr>
      <w:tr w:rsidR="00CF755B" w:rsidRPr="00CF755B" w14:paraId="31AD613E" w14:textId="77777777" w:rsidTr="00CF755B">
        <w:trPr>
          <w:trHeight w:val="28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630156" w14:textId="77777777" w:rsidR="00CF755B" w:rsidRPr="00CF755B" w:rsidRDefault="00CF755B" w:rsidP="00CF75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55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373C65" w14:textId="77777777" w:rsidR="00CF755B" w:rsidRPr="00CF755B" w:rsidRDefault="00CF755B" w:rsidP="00CF75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55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14EE25" w14:textId="77777777" w:rsidR="00CF755B" w:rsidRPr="00CF755B" w:rsidRDefault="00CF755B" w:rsidP="00CF75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55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00DA3B" w14:textId="77777777" w:rsidR="00CF755B" w:rsidRPr="00CF755B" w:rsidRDefault="00CF755B" w:rsidP="00CF75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55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C0ECA3" w14:textId="77777777" w:rsidR="00CF755B" w:rsidRPr="00CF755B" w:rsidRDefault="00CF755B" w:rsidP="00CF75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55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4315F0" w14:textId="77777777" w:rsidR="00CF755B" w:rsidRPr="00CF755B" w:rsidRDefault="00CF755B" w:rsidP="00CF75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755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F755B" w:rsidRPr="00CF755B" w14:paraId="68236234" w14:textId="77777777" w:rsidTr="00CF755B">
        <w:trPr>
          <w:trHeight w:val="28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652F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97DD" w14:textId="77777777" w:rsidR="00CF755B" w:rsidRPr="00CF755B" w:rsidRDefault="00CF755B" w:rsidP="00CF75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b/>
                <w:bCs/>
                <w:color w:val="000000"/>
                <w:sz w:val="22"/>
                <w:szCs w:val="22"/>
              </w:rPr>
              <w:t>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C051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1.142.625,00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C4C3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58.575,00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1E72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1.201.200,00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B855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105,1</w:t>
            </w:r>
          </w:p>
        </w:tc>
      </w:tr>
      <w:tr w:rsidR="00CF755B" w:rsidRPr="00CF755B" w14:paraId="30C93C58" w14:textId="77777777" w:rsidTr="00CF755B">
        <w:trPr>
          <w:trHeight w:val="5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501D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F9B" w14:textId="77777777" w:rsidR="00CF755B" w:rsidRPr="00CF755B" w:rsidRDefault="00CF755B" w:rsidP="00CF75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b/>
                <w:bCs/>
                <w:color w:val="000000"/>
                <w:sz w:val="22"/>
                <w:szCs w:val="22"/>
              </w:rPr>
              <w:t>PRIHODI OD PRODAJE ROBE I PRUŽANJA USLUGA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D355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1.104.000,00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3C4C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EFFA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1.174.000,00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FE6B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106,3</w:t>
            </w:r>
          </w:p>
        </w:tc>
      </w:tr>
      <w:tr w:rsidR="00CF755B" w:rsidRPr="00CF755B" w14:paraId="3F6CB88C" w14:textId="77777777" w:rsidTr="00CF755B">
        <w:trPr>
          <w:trHeight w:val="28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BDFB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b/>
                <w:bCs/>
                <w:color w:val="000000"/>
                <w:sz w:val="22"/>
                <w:szCs w:val="22"/>
              </w:rPr>
              <w:t>3112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20FE" w14:textId="77777777" w:rsidR="00CF755B" w:rsidRPr="00CF755B" w:rsidRDefault="00CF755B" w:rsidP="00CF75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b/>
                <w:bCs/>
                <w:color w:val="000000"/>
                <w:sz w:val="22"/>
                <w:szCs w:val="22"/>
              </w:rPr>
              <w:t>Prihodi od pružanja usluga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B62B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1.104.000,00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03D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70.000,00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7E39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1.174.000,00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3749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106,3</w:t>
            </w:r>
          </w:p>
        </w:tc>
      </w:tr>
      <w:tr w:rsidR="00CF755B" w:rsidRPr="00CF755B" w14:paraId="654B401A" w14:textId="77777777" w:rsidTr="00CF755B">
        <w:trPr>
          <w:trHeight w:val="30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A235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color w:val="000000"/>
                <w:sz w:val="22"/>
                <w:szCs w:val="22"/>
              </w:rPr>
              <w:t>31121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B2CE" w14:textId="77777777" w:rsidR="00CF755B" w:rsidRPr="00CF755B" w:rsidRDefault="00CF755B" w:rsidP="00CF755B">
            <w:pPr>
              <w:rPr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color w:val="000000"/>
                <w:sz w:val="22"/>
                <w:szCs w:val="22"/>
              </w:rPr>
              <w:t>Lučke pristojbe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63B9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761.900,00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96B6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13.100,00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8A2E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775.000,00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B3D1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101,7</w:t>
            </w:r>
          </w:p>
        </w:tc>
      </w:tr>
      <w:tr w:rsidR="00CF755B" w:rsidRPr="00CF755B" w14:paraId="54AC0FDF" w14:textId="77777777" w:rsidTr="00CF755B">
        <w:trPr>
          <w:trHeight w:val="30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03DC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color w:val="000000"/>
                <w:sz w:val="22"/>
                <w:szCs w:val="22"/>
              </w:rPr>
              <w:t>31122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BD4D" w14:textId="77777777" w:rsidR="00CF755B" w:rsidRPr="00CF755B" w:rsidRDefault="00CF755B" w:rsidP="00CF755B">
            <w:pPr>
              <w:rPr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color w:val="000000"/>
                <w:sz w:val="22"/>
                <w:szCs w:val="22"/>
              </w:rPr>
              <w:t>Lučke naknade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1D85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115.000,00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5C65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69CD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D8E1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143,5</w:t>
            </w:r>
          </w:p>
        </w:tc>
      </w:tr>
      <w:tr w:rsidR="00CF755B" w:rsidRPr="00CF755B" w14:paraId="02267718" w14:textId="77777777" w:rsidTr="00CF755B">
        <w:trPr>
          <w:trHeight w:val="30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B992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color w:val="000000"/>
                <w:sz w:val="22"/>
                <w:szCs w:val="22"/>
              </w:rPr>
              <w:t>31123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14E5" w14:textId="77777777" w:rsidR="00CF755B" w:rsidRPr="00CF755B" w:rsidRDefault="00CF755B" w:rsidP="00CF755B">
            <w:pPr>
              <w:rPr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color w:val="000000"/>
                <w:sz w:val="22"/>
                <w:szCs w:val="22"/>
              </w:rPr>
              <w:t>Naknade za koncesiju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5C86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222.600,00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5787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7.400,00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7729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230.000,00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44AE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103,3</w:t>
            </w:r>
          </w:p>
        </w:tc>
      </w:tr>
      <w:tr w:rsidR="00CF755B" w:rsidRPr="00CF755B" w14:paraId="4EE667D1" w14:textId="77777777" w:rsidTr="00CF755B">
        <w:trPr>
          <w:trHeight w:val="30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89D2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color w:val="000000"/>
                <w:sz w:val="22"/>
                <w:szCs w:val="22"/>
              </w:rPr>
              <w:t>31124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F650" w14:textId="77777777" w:rsidR="00CF755B" w:rsidRPr="00CF755B" w:rsidRDefault="00CF755B" w:rsidP="00CF755B">
            <w:pPr>
              <w:rPr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color w:val="000000"/>
                <w:sz w:val="22"/>
                <w:szCs w:val="22"/>
              </w:rPr>
              <w:t>Ostali prihodi poslovanja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2E4F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4.500,00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5EF8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-500,00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3ADD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2A46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88,9</w:t>
            </w:r>
          </w:p>
        </w:tc>
      </w:tr>
      <w:tr w:rsidR="00CF755B" w:rsidRPr="00CF755B" w14:paraId="7D2BC64B" w14:textId="77777777" w:rsidTr="00CF755B">
        <w:trPr>
          <w:trHeight w:val="28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9318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EC36" w14:textId="77777777" w:rsidR="00CF755B" w:rsidRPr="00CF755B" w:rsidRDefault="00CF755B" w:rsidP="00CF75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b/>
                <w:bCs/>
                <w:color w:val="000000"/>
                <w:sz w:val="22"/>
                <w:szCs w:val="22"/>
              </w:rPr>
              <w:t>Prihodi od imovine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D46C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F000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-300,00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15C1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2.200,00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5A36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88,0</w:t>
            </w:r>
          </w:p>
        </w:tc>
      </w:tr>
      <w:tr w:rsidR="00CF755B" w:rsidRPr="00CF755B" w14:paraId="2D550D28" w14:textId="77777777" w:rsidTr="00CF755B">
        <w:trPr>
          <w:trHeight w:val="30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350B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color w:val="000000"/>
                <w:sz w:val="22"/>
                <w:szCs w:val="22"/>
              </w:rPr>
              <w:t>3413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9BF8" w14:textId="77777777" w:rsidR="00CF755B" w:rsidRPr="00CF755B" w:rsidRDefault="00CF755B" w:rsidP="00CF755B">
            <w:pPr>
              <w:rPr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color w:val="000000"/>
                <w:sz w:val="22"/>
                <w:szCs w:val="22"/>
              </w:rPr>
              <w:t>Prihodi od kamata na oročena sredstava i depozite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630C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70B0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-300,00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0C05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EDDE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F755B" w:rsidRPr="00CF755B" w14:paraId="77F4A81A" w14:textId="77777777" w:rsidTr="00CF755B">
        <w:trPr>
          <w:trHeight w:val="30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7127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color w:val="000000"/>
                <w:sz w:val="22"/>
                <w:szCs w:val="22"/>
              </w:rPr>
              <w:t>3414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2CB" w14:textId="77777777" w:rsidR="00CF755B" w:rsidRPr="00CF755B" w:rsidRDefault="00CF755B" w:rsidP="00CF755B">
            <w:pPr>
              <w:rPr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color w:val="000000"/>
                <w:sz w:val="22"/>
                <w:szCs w:val="22"/>
              </w:rPr>
              <w:t>Prihodi od zateznih kamata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F67B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9344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7597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EC30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F755B" w:rsidRPr="00CF755B" w14:paraId="5AF7CC66" w14:textId="77777777" w:rsidTr="00CF755B">
        <w:trPr>
          <w:trHeight w:val="28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F643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C42" w14:textId="77777777" w:rsidR="00CF755B" w:rsidRPr="00CF755B" w:rsidRDefault="00CF755B" w:rsidP="00CF75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b/>
                <w:bCs/>
                <w:color w:val="000000"/>
                <w:sz w:val="22"/>
                <w:szCs w:val="22"/>
              </w:rPr>
              <w:t>Prihodi od donacija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0374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11.625,00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4AD0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-11.625,00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E6F3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ECDD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F755B" w:rsidRPr="00CF755B" w14:paraId="79051E01" w14:textId="77777777" w:rsidTr="00CF755B">
        <w:trPr>
          <w:trHeight w:val="30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5778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color w:val="000000"/>
                <w:sz w:val="22"/>
                <w:szCs w:val="22"/>
              </w:rPr>
              <w:t>3522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E72" w14:textId="77777777" w:rsidR="00CF755B" w:rsidRPr="00CF755B" w:rsidRDefault="00CF755B" w:rsidP="00CF755B">
            <w:pPr>
              <w:rPr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color w:val="000000"/>
                <w:sz w:val="22"/>
                <w:szCs w:val="22"/>
              </w:rPr>
              <w:t xml:space="preserve">Prihodi od donacija tijela i institucija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ABF7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11.625,00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E053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-11.625,00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8F78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B4B9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F755B" w:rsidRPr="00CF755B" w14:paraId="7CE76876" w14:textId="77777777" w:rsidTr="00CF755B">
        <w:trPr>
          <w:trHeight w:val="28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15DB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5864" w14:textId="77777777" w:rsidR="00CF755B" w:rsidRPr="00CF755B" w:rsidRDefault="00CF755B" w:rsidP="00CF75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b/>
                <w:bCs/>
                <w:color w:val="000000"/>
                <w:sz w:val="22"/>
                <w:szCs w:val="22"/>
              </w:rPr>
              <w:t>Ostali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A208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24.500,00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0577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8A0A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5303" w14:textId="77777777" w:rsidR="00CF755B" w:rsidRPr="00CF755B" w:rsidRDefault="00CF755B" w:rsidP="00CF755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755B">
              <w:rPr>
                <w:b/>
                <w:bCs/>
                <w:color w:val="000000"/>
                <w:sz w:val="22"/>
                <w:szCs w:val="22"/>
              </w:rPr>
              <w:t>102,0</w:t>
            </w:r>
          </w:p>
        </w:tc>
      </w:tr>
      <w:tr w:rsidR="00CF755B" w:rsidRPr="00CF755B" w14:paraId="06C0CB6C" w14:textId="77777777" w:rsidTr="00CF755B">
        <w:trPr>
          <w:trHeight w:val="30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76EB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color w:val="000000"/>
                <w:sz w:val="22"/>
                <w:szCs w:val="22"/>
              </w:rPr>
              <w:t>3633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FF8C" w14:textId="77777777" w:rsidR="00CF755B" w:rsidRPr="00CF755B" w:rsidRDefault="00CF755B" w:rsidP="00CF755B">
            <w:pPr>
              <w:rPr>
                <w:color w:val="000000"/>
                <w:sz w:val="22"/>
                <w:szCs w:val="22"/>
              </w:rPr>
            </w:pPr>
            <w:r w:rsidRPr="00CF755B">
              <w:rPr>
                <w:rFonts w:cs="Arial"/>
                <w:color w:val="000000"/>
                <w:sz w:val="22"/>
                <w:szCs w:val="22"/>
              </w:rPr>
              <w:t>Ostali nespomenuti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6018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24.500,00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686F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63DB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A60" w14:textId="77777777" w:rsidR="00CF755B" w:rsidRPr="00CF755B" w:rsidRDefault="00CF755B" w:rsidP="00CF755B">
            <w:pPr>
              <w:jc w:val="right"/>
              <w:rPr>
                <w:color w:val="000000"/>
                <w:sz w:val="22"/>
                <w:szCs w:val="22"/>
              </w:rPr>
            </w:pPr>
            <w:r w:rsidRPr="00CF755B">
              <w:rPr>
                <w:color w:val="000000"/>
                <w:sz w:val="22"/>
                <w:szCs w:val="22"/>
              </w:rPr>
              <w:t>102,0</w:t>
            </w:r>
          </w:p>
        </w:tc>
      </w:tr>
    </w:tbl>
    <w:p w14:paraId="5899BA2D" w14:textId="45845D70" w:rsidR="00DB20B6" w:rsidRPr="00CF755B" w:rsidRDefault="00DB20B6" w:rsidP="00305430">
      <w:pPr>
        <w:ind w:firstLine="426"/>
        <w:jc w:val="both"/>
        <w:rPr>
          <w:bCs/>
        </w:rPr>
      </w:pPr>
      <w:r w:rsidRPr="00CF755B">
        <w:rPr>
          <w:bCs/>
          <w:u w:val="single"/>
        </w:rPr>
        <w:lastRenderedPageBreak/>
        <w:t>PRIHODI OD PRODAJE ROBE I PRUŽANJA USLUGA (skupina računa 31</w:t>
      </w:r>
      <w:r w:rsidR="000B624F" w:rsidRPr="00CF755B">
        <w:rPr>
          <w:bCs/>
        </w:rPr>
        <w:t xml:space="preserve">) </w:t>
      </w:r>
      <w:r w:rsidRPr="00CF755B">
        <w:t>planirani</w:t>
      </w:r>
      <w:r w:rsidR="00ED002A" w:rsidRPr="00CF755B">
        <w:t xml:space="preserve"> su za 2025</w:t>
      </w:r>
      <w:r w:rsidR="000B624F" w:rsidRPr="00CF755B">
        <w:t xml:space="preserve">. godinu </w:t>
      </w:r>
      <w:r w:rsidRPr="00CF755B">
        <w:t>u iznosu od 1.</w:t>
      </w:r>
      <w:r w:rsidR="00ED002A" w:rsidRPr="00CF755B">
        <w:t>174.000,00</w:t>
      </w:r>
      <w:r w:rsidRPr="00CF755B">
        <w:t xml:space="preserve"> eura, </w:t>
      </w:r>
      <w:r w:rsidR="00ED002A" w:rsidRPr="00CF755B">
        <w:t>odnosno s povećanj</w:t>
      </w:r>
      <w:r w:rsidR="000B624F" w:rsidRPr="00CF755B">
        <w:t>em od 70.000,00 eura ili za 6,3</w:t>
      </w:r>
      <w:r w:rsidR="00ED002A" w:rsidRPr="00CF755B">
        <w:t>% u odnosu na plan 2024</w:t>
      </w:r>
      <w:r w:rsidRPr="00CF755B">
        <w:t xml:space="preserve">. godine od </w:t>
      </w:r>
      <w:r w:rsidR="00ED002A" w:rsidRPr="00CF755B">
        <w:t>1.104.000</w:t>
      </w:r>
      <w:r w:rsidRPr="00CF755B">
        <w:t>,00 eura</w:t>
      </w:r>
      <w:r w:rsidRPr="00CF755B">
        <w:rPr>
          <w:bCs/>
        </w:rPr>
        <w:t>.</w:t>
      </w:r>
    </w:p>
    <w:p w14:paraId="5170EB7F" w14:textId="66D59A03" w:rsidR="00F945E0" w:rsidRDefault="00DB20B6" w:rsidP="00305430">
      <w:pPr>
        <w:ind w:firstLine="426"/>
        <w:jc w:val="both"/>
      </w:pPr>
      <w:r w:rsidRPr="00CF755B">
        <w:t>U strukturi prihoda od</w:t>
      </w:r>
      <w:r w:rsidRPr="00CF755B">
        <w:rPr>
          <w:bCs/>
        </w:rPr>
        <w:t xml:space="preserve"> pružanja usluga</w:t>
      </w:r>
      <w:r w:rsidRPr="00CF755B">
        <w:t xml:space="preserve"> planira se povećanje prihoda</w:t>
      </w:r>
      <w:r w:rsidR="003975C9" w:rsidRPr="00CF755B">
        <w:t xml:space="preserve"> u odnosu na plan 2024. godine i </w:t>
      </w:r>
      <w:r w:rsidRPr="00CF755B">
        <w:t xml:space="preserve">to lučke pristojbe za </w:t>
      </w:r>
      <w:r w:rsidR="003975C9" w:rsidRPr="00CF755B">
        <w:t>1</w:t>
      </w:r>
      <w:r w:rsidRPr="00CF755B">
        <w:t xml:space="preserve">,7% ili </w:t>
      </w:r>
      <w:r w:rsidR="00EB330A" w:rsidRPr="00CF755B">
        <w:t>za 13.1</w:t>
      </w:r>
      <w:r w:rsidRPr="00CF755B">
        <w:t xml:space="preserve">00,00 eura, </w:t>
      </w:r>
      <w:r w:rsidR="00AE21A5" w:rsidRPr="00CF755B">
        <w:t>lučke naknade za 43</w:t>
      </w:r>
      <w:r w:rsidRPr="00CF755B">
        <w:t xml:space="preserve">,5% ili </w:t>
      </w:r>
      <w:r w:rsidR="00AE21A5" w:rsidRPr="00CF755B">
        <w:t>za 50</w:t>
      </w:r>
      <w:r w:rsidRPr="00CF755B">
        <w:t>.000,00 eura, naknade za kon</w:t>
      </w:r>
      <w:r w:rsidR="00AE21A5" w:rsidRPr="00CF755B">
        <w:t>cesije za 7.4</w:t>
      </w:r>
      <w:r w:rsidRPr="00CF755B">
        <w:t xml:space="preserve">00,00 </w:t>
      </w:r>
      <w:r w:rsidR="00AE21A5" w:rsidRPr="00CF755B">
        <w:t>eura ili za 3,3</w:t>
      </w:r>
      <w:r w:rsidRPr="00CF755B">
        <w:t>%</w:t>
      </w:r>
      <w:r w:rsidR="002F115B">
        <w:t>, dok se smanjuju ostali prihodi za 500,00 eura ili 11,1%.</w:t>
      </w:r>
    </w:p>
    <w:p w14:paraId="565A1CB9" w14:textId="36A16417" w:rsidR="00F945E0" w:rsidRDefault="00DB20B6" w:rsidP="00305430">
      <w:pPr>
        <w:ind w:firstLine="426"/>
        <w:jc w:val="both"/>
      </w:pPr>
      <w:r w:rsidRPr="00CF755B">
        <w:rPr>
          <w:u w:val="single"/>
        </w:rPr>
        <w:t>PRIHODI OD IMOVINE (</w:t>
      </w:r>
      <w:r w:rsidR="00435E79" w:rsidRPr="00CF755B">
        <w:rPr>
          <w:bCs/>
          <w:u w:val="single"/>
        </w:rPr>
        <w:t xml:space="preserve">skupina računa </w:t>
      </w:r>
      <w:r w:rsidRPr="00CF755B">
        <w:rPr>
          <w:bCs/>
          <w:u w:val="single"/>
        </w:rPr>
        <w:t>34)</w:t>
      </w:r>
      <w:r w:rsidR="003C5B19" w:rsidRPr="00CF755B">
        <w:rPr>
          <w:bCs/>
        </w:rPr>
        <w:t xml:space="preserve"> planirani su u iznosu od 2.200,00 eura, što predstavlja smanjenje za </w:t>
      </w:r>
      <w:r w:rsidR="007236D5">
        <w:rPr>
          <w:bCs/>
        </w:rPr>
        <w:t>12,0</w:t>
      </w:r>
      <w:r w:rsidR="003C5B19" w:rsidRPr="00CF755B">
        <w:rPr>
          <w:bCs/>
        </w:rPr>
        <w:t>% u odnosu na 2024. godinu</w:t>
      </w:r>
      <w:r w:rsidRPr="00CF755B">
        <w:rPr>
          <w:bCs/>
        </w:rPr>
        <w:t xml:space="preserve">, a odnose se na </w:t>
      </w:r>
      <w:r w:rsidRPr="00CF755B">
        <w:t xml:space="preserve">kamate na </w:t>
      </w:r>
      <w:r w:rsidR="003C5B19" w:rsidRPr="00CF755B">
        <w:t>oročena sredstv</w:t>
      </w:r>
      <w:r w:rsidR="007A70E0">
        <w:t>a</w:t>
      </w:r>
      <w:r w:rsidR="003C5B19" w:rsidRPr="00CF755B">
        <w:t xml:space="preserve"> i depozite </w:t>
      </w:r>
      <w:r w:rsidRPr="00CF755B">
        <w:t>i prihode od zateznih kamata.</w:t>
      </w:r>
    </w:p>
    <w:p w14:paraId="374632CE" w14:textId="69BB003A" w:rsidR="00F945E0" w:rsidRPr="00F60280" w:rsidRDefault="00DB20B6" w:rsidP="00305430">
      <w:pPr>
        <w:ind w:firstLine="426"/>
        <w:jc w:val="both"/>
        <w:rPr>
          <w:bCs/>
        </w:rPr>
      </w:pPr>
      <w:r w:rsidRPr="00F60280">
        <w:rPr>
          <w:u w:val="single"/>
        </w:rPr>
        <w:t>PRIHODI OD DONACIJA (</w:t>
      </w:r>
      <w:r w:rsidRPr="00F60280">
        <w:rPr>
          <w:bCs/>
          <w:u w:val="single"/>
        </w:rPr>
        <w:t>skupina računa 35)</w:t>
      </w:r>
      <w:r w:rsidRPr="00E86DA1">
        <w:rPr>
          <w:bCs/>
        </w:rPr>
        <w:t xml:space="preserve"> </w:t>
      </w:r>
      <w:r w:rsidR="009F4381" w:rsidRPr="00F60280">
        <w:rPr>
          <w:bCs/>
        </w:rPr>
        <w:t>nisu planirani u 2025</w:t>
      </w:r>
      <w:r w:rsidRPr="00F60280">
        <w:rPr>
          <w:bCs/>
        </w:rPr>
        <w:t xml:space="preserve">. godini, što predstavlja smanjenje prihoda od donacija za </w:t>
      </w:r>
      <w:r w:rsidR="009F4381" w:rsidRPr="00F60280">
        <w:rPr>
          <w:bCs/>
        </w:rPr>
        <w:t>11.625,00 eura planiranih u 2024</w:t>
      </w:r>
      <w:r w:rsidRPr="00F60280">
        <w:rPr>
          <w:bCs/>
        </w:rPr>
        <w:t>. godini iz Europskog fonda za regionalni razvoj</w:t>
      </w:r>
      <w:r w:rsidR="009F4381" w:rsidRPr="00F60280">
        <w:rPr>
          <w:bCs/>
        </w:rPr>
        <w:t>, a</w:t>
      </w:r>
      <w:r w:rsidRPr="00F60280">
        <w:rPr>
          <w:bCs/>
        </w:rPr>
        <w:t xml:space="preserve"> odnosi</w:t>
      </w:r>
      <w:r w:rsidR="00BC66EB" w:rsidRPr="00F60280">
        <w:rPr>
          <w:bCs/>
        </w:rPr>
        <w:t>o</w:t>
      </w:r>
      <w:r w:rsidRPr="00F60280">
        <w:rPr>
          <w:bCs/>
        </w:rPr>
        <w:t xml:space="preserve"> se na donaciju za aktivnosti EU projekta FRAMESPORT (“</w:t>
      </w:r>
      <w:r w:rsidRPr="00F60280">
        <w:rPr>
          <w:bCs/>
          <w:i/>
          <w:iCs/>
        </w:rPr>
        <w:t>FRAMEwork initiative fostering the sustainable development of Adriatic Small PORTs</w:t>
      </w:r>
      <w:r w:rsidRPr="00F60280">
        <w:rPr>
          <w:bCs/>
        </w:rPr>
        <w:t>”), koji se provodi</w:t>
      </w:r>
      <w:r w:rsidR="004870E5" w:rsidRPr="00F60280">
        <w:rPr>
          <w:bCs/>
        </w:rPr>
        <w:t>o</w:t>
      </w:r>
      <w:r w:rsidRPr="00F60280">
        <w:rPr>
          <w:bCs/>
        </w:rPr>
        <w:t xml:space="preserve"> u sklopu Programa prekogranične suradnje Interreg Hrvatska – Italija sa svrhom poticanja održivog razvoja malih luka u Jadranu, a čiji sudionik je</w:t>
      </w:r>
      <w:r w:rsidR="009F4381" w:rsidRPr="00F60280">
        <w:rPr>
          <w:bCs/>
        </w:rPr>
        <w:t xml:space="preserve"> bila</w:t>
      </w:r>
      <w:r w:rsidRPr="00F60280">
        <w:rPr>
          <w:bCs/>
        </w:rPr>
        <w:t xml:space="preserve"> i Lučka uprava Senj.</w:t>
      </w:r>
    </w:p>
    <w:p w14:paraId="7F5CCD23" w14:textId="4D9C8966" w:rsidR="00F945E0" w:rsidRPr="00CF755B" w:rsidRDefault="00DB20B6" w:rsidP="00305430">
      <w:pPr>
        <w:ind w:firstLine="426"/>
        <w:jc w:val="both"/>
        <w:rPr>
          <w:bCs/>
        </w:rPr>
      </w:pPr>
      <w:r w:rsidRPr="00CF755B">
        <w:rPr>
          <w:bCs/>
          <w:u w:val="single"/>
        </w:rPr>
        <w:t>OSTALI PRIHODI</w:t>
      </w:r>
      <w:r w:rsidR="00281F23">
        <w:rPr>
          <w:bCs/>
          <w:u w:val="single"/>
        </w:rPr>
        <w:t xml:space="preserve"> </w:t>
      </w:r>
      <w:r w:rsidRPr="00CF755B">
        <w:rPr>
          <w:u w:val="single"/>
        </w:rPr>
        <w:t>(</w:t>
      </w:r>
      <w:r w:rsidRPr="00CF755B">
        <w:rPr>
          <w:bCs/>
          <w:u w:val="single"/>
        </w:rPr>
        <w:t>skupina računa</w:t>
      </w:r>
      <w:r w:rsidR="00F57A8B">
        <w:rPr>
          <w:bCs/>
          <w:u w:val="single"/>
        </w:rPr>
        <w:t xml:space="preserve"> </w:t>
      </w:r>
      <w:r w:rsidRPr="00CF755B">
        <w:rPr>
          <w:bCs/>
          <w:u w:val="single"/>
        </w:rPr>
        <w:t>36)</w:t>
      </w:r>
      <w:r w:rsidRPr="00594814">
        <w:rPr>
          <w:bCs/>
        </w:rPr>
        <w:t xml:space="preserve"> </w:t>
      </w:r>
      <w:r w:rsidRPr="00CF755B">
        <w:rPr>
          <w:bCs/>
        </w:rPr>
        <w:t xml:space="preserve">uključuju prihode od usluga korištenja sanitarnog čvora u Stinici, te ostale nespomenute prihode koji su planirani </w:t>
      </w:r>
      <w:r w:rsidR="00BC66EB" w:rsidRPr="00CF755B">
        <w:rPr>
          <w:bCs/>
        </w:rPr>
        <w:t xml:space="preserve">s  povećanjem od 2%, u odnosu na plan 2024. godine od 25.000,00 eura. </w:t>
      </w:r>
    </w:p>
    <w:p w14:paraId="7C0CAE5E" w14:textId="070CF4E6" w:rsidR="00DB20B6" w:rsidRPr="00CF755B" w:rsidRDefault="00DB20B6" w:rsidP="00305430">
      <w:pPr>
        <w:ind w:firstLine="426"/>
        <w:jc w:val="both"/>
        <w:rPr>
          <w:bCs/>
        </w:rPr>
      </w:pPr>
      <w:r w:rsidRPr="00CF755B">
        <w:rPr>
          <w:b/>
          <w:bCs/>
          <w:u w:val="single"/>
        </w:rPr>
        <w:t>ODGOĐENI PRIHODI OD DONACIJA (skupina računa 29)</w:t>
      </w:r>
      <w:r w:rsidRPr="00CF755B">
        <w:rPr>
          <w:bCs/>
        </w:rPr>
        <w:t xml:space="preserve"> planirani su u iznosu od</w:t>
      </w:r>
      <w:r w:rsidR="005B378F" w:rsidRPr="00CF755B">
        <w:rPr>
          <w:bCs/>
        </w:rPr>
        <w:t xml:space="preserve"> 1.268.000</w:t>
      </w:r>
      <w:r w:rsidRPr="00CF755B">
        <w:rPr>
          <w:bCs/>
        </w:rPr>
        <w:t>,00 eura, a uključuju planirane prihode iz državnog proračuna i proračuna jedinica lokalne samouprave.</w:t>
      </w:r>
    </w:p>
    <w:p w14:paraId="0D8A58A4" w14:textId="77777777" w:rsidR="00DB20B6" w:rsidRPr="00CF755B" w:rsidRDefault="00DB20B6" w:rsidP="00DB20B6">
      <w:pPr>
        <w:jc w:val="both"/>
        <w:rPr>
          <w:bCs/>
          <w:highlight w:val="yellow"/>
        </w:rPr>
      </w:pPr>
    </w:p>
    <w:p w14:paraId="0F77553C" w14:textId="291FA64A" w:rsidR="00DB20B6" w:rsidRPr="00CF755B" w:rsidRDefault="00DB20B6" w:rsidP="00305430">
      <w:pPr>
        <w:ind w:firstLine="426"/>
        <w:jc w:val="both"/>
        <w:rPr>
          <w:bCs/>
        </w:rPr>
      </w:pPr>
      <w:r w:rsidRPr="00CF755B">
        <w:rPr>
          <w:bCs/>
        </w:rPr>
        <w:t>Slijedom svega navedenog utvrđuj</w:t>
      </w:r>
      <w:r w:rsidR="004036DF">
        <w:rPr>
          <w:bCs/>
        </w:rPr>
        <w:t>u</w:t>
      </w:r>
      <w:r w:rsidRPr="00CF755B">
        <w:rPr>
          <w:bCs/>
        </w:rPr>
        <w:t xml:space="preserve"> se sveukupni prihodi u iznosu od </w:t>
      </w:r>
      <w:r w:rsidR="004036DF">
        <w:rPr>
          <w:bCs/>
        </w:rPr>
        <w:t>2.469.200</w:t>
      </w:r>
      <w:r w:rsidR="000740C4" w:rsidRPr="00CF755B">
        <w:rPr>
          <w:bCs/>
        </w:rPr>
        <w:t>,</w:t>
      </w:r>
      <w:r w:rsidRPr="00CF755B">
        <w:rPr>
          <w:bCs/>
        </w:rPr>
        <w:t>00</w:t>
      </w:r>
      <w:r w:rsidR="000740C4" w:rsidRPr="00CF755B">
        <w:rPr>
          <w:bCs/>
        </w:rPr>
        <w:t xml:space="preserve"> eura, što u odnosu na plan 2024. godine od </w:t>
      </w:r>
      <w:r w:rsidR="004036DF">
        <w:rPr>
          <w:bCs/>
        </w:rPr>
        <w:t>2</w:t>
      </w:r>
      <w:r w:rsidR="000740C4" w:rsidRPr="00CF755B">
        <w:rPr>
          <w:bCs/>
        </w:rPr>
        <w:t>.</w:t>
      </w:r>
      <w:r w:rsidR="004036DF">
        <w:rPr>
          <w:bCs/>
        </w:rPr>
        <w:t>201</w:t>
      </w:r>
      <w:r w:rsidR="000740C4" w:rsidRPr="00CF755B">
        <w:rPr>
          <w:bCs/>
        </w:rPr>
        <w:t>.625</w:t>
      </w:r>
      <w:r w:rsidRPr="00CF755B">
        <w:rPr>
          <w:bCs/>
        </w:rPr>
        <w:t xml:space="preserve">,00 eura predstavlja </w:t>
      </w:r>
      <w:r w:rsidR="000740C4" w:rsidRPr="00CF755B">
        <w:rPr>
          <w:bCs/>
        </w:rPr>
        <w:t xml:space="preserve">povećanje za </w:t>
      </w:r>
      <w:r w:rsidR="004036DF">
        <w:rPr>
          <w:bCs/>
        </w:rPr>
        <w:t>12</w:t>
      </w:r>
      <w:r w:rsidR="000740C4" w:rsidRPr="00CF755B">
        <w:rPr>
          <w:bCs/>
        </w:rPr>
        <w:t>,</w:t>
      </w:r>
      <w:r w:rsidR="004036DF">
        <w:rPr>
          <w:bCs/>
        </w:rPr>
        <w:t>2</w:t>
      </w:r>
      <w:r w:rsidR="000740C4" w:rsidRPr="00CF755B">
        <w:rPr>
          <w:bCs/>
        </w:rPr>
        <w:t xml:space="preserve">% ili za </w:t>
      </w:r>
      <w:r w:rsidR="004036DF">
        <w:rPr>
          <w:bCs/>
        </w:rPr>
        <w:t>267.575</w:t>
      </w:r>
      <w:r w:rsidRPr="00CF755B">
        <w:rPr>
          <w:bCs/>
        </w:rPr>
        <w:t>,00 eura.</w:t>
      </w:r>
    </w:p>
    <w:p w14:paraId="56DED480" w14:textId="77777777" w:rsidR="00DB20B6" w:rsidRDefault="00DB20B6" w:rsidP="00DB20B6">
      <w:pPr>
        <w:jc w:val="both"/>
        <w:rPr>
          <w:rFonts w:ascii="Calibri" w:hAnsi="Calibri" w:cs="Arial"/>
          <w:sz w:val="22"/>
          <w:szCs w:val="22"/>
          <w:highlight w:val="yellow"/>
        </w:rPr>
      </w:pPr>
    </w:p>
    <w:p w14:paraId="1B2927A5" w14:textId="77777777" w:rsidR="00F945E0" w:rsidRDefault="00F945E0" w:rsidP="00DB20B6">
      <w:pPr>
        <w:jc w:val="both"/>
        <w:rPr>
          <w:b/>
        </w:rPr>
      </w:pPr>
    </w:p>
    <w:p w14:paraId="3D8B22F8" w14:textId="71851FFD" w:rsidR="00DB20B6" w:rsidRPr="00972EF1" w:rsidRDefault="00DB20B6" w:rsidP="00DB20B6">
      <w:pPr>
        <w:jc w:val="both"/>
        <w:rPr>
          <w:b/>
          <w:highlight w:val="yellow"/>
        </w:rPr>
      </w:pPr>
      <w:r w:rsidRPr="00972EF1">
        <w:rPr>
          <w:b/>
        </w:rPr>
        <w:t xml:space="preserve">RASHODI </w:t>
      </w:r>
    </w:p>
    <w:p w14:paraId="1DC95039" w14:textId="77777777" w:rsidR="00DB20B6" w:rsidRPr="00972EF1" w:rsidRDefault="00DB20B6" w:rsidP="00DB20B6">
      <w:pPr>
        <w:jc w:val="both"/>
        <w:rPr>
          <w:b/>
          <w:highlight w:val="yellow"/>
        </w:rPr>
      </w:pPr>
    </w:p>
    <w:p w14:paraId="4F176329" w14:textId="7280FFB4" w:rsidR="00DB20B6" w:rsidRPr="00076A30" w:rsidRDefault="00076A30" w:rsidP="00305430">
      <w:pPr>
        <w:ind w:firstLine="426"/>
        <w:jc w:val="both"/>
      </w:pPr>
      <w:r w:rsidRPr="00076A30">
        <w:t>U 2025</w:t>
      </w:r>
      <w:r w:rsidR="00DB20B6" w:rsidRPr="00076A30">
        <w:t xml:space="preserve">. godini planirani rashodi iznose </w:t>
      </w:r>
      <w:r>
        <w:t xml:space="preserve">966.500,00 eura </w:t>
      </w:r>
      <w:r w:rsidR="00DB20B6" w:rsidRPr="00076A30">
        <w:t xml:space="preserve">što predstavlja </w:t>
      </w:r>
      <w:r>
        <w:t>povećanje za 46.850,00 eura ili za 5,1%, dok su u projekciji za 2026</w:t>
      </w:r>
      <w:r w:rsidR="00DB20B6" w:rsidRPr="00076A30">
        <w:t>. godini rashodi planirani u iz</w:t>
      </w:r>
      <w:r w:rsidR="000372B5" w:rsidRPr="00076A30">
        <w:t>n</w:t>
      </w:r>
      <w:r>
        <w:t>osu od 941.800,00 eura, a za 2027</w:t>
      </w:r>
      <w:r w:rsidR="00DB20B6" w:rsidRPr="00076A30">
        <w:t>. godinu u izn</w:t>
      </w:r>
      <w:r>
        <w:t>osu od 938.1</w:t>
      </w:r>
      <w:r w:rsidR="00DB20B6" w:rsidRPr="00076A30">
        <w:t>00,00 eura.</w:t>
      </w:r>
    </w:p>
    <w:p w14:paraId="4F440E89" w14:textId="17C5DCA3" w:rsidR="00DB20B6" w:rsidRPr="00076A30" w:rsidRDefault="00DB20B6" w:rsidP="00305430">
      <w:pPr>
        <w:ind w:firstLine="426"/>
        <w:jc w:val="both"/>
        <w:rPr>
          <w:lang w:val="pl-PL"/>
        </w:rPr>
      </w:pPr>
      <w:r w:rsidRPr="00076A30">
        <w:t xml:space="preserve">U nastavku se daje </w:t>
      </w:r>
      <w:r w:rsidR="00920838">
        <w:t>prikaz strukture</w:t>
      </w:r>
      <w:r w:rsidR="00305430">
        <w:t xml:space="preserve"> </w:t>
      </w:r>
      <w:r w:rsidR="00920838">
        <w:t>rashoda za 2025.</w:t>
      </w:r>
      <w:r w:rsidR="00305430">
        <w:t xml:space="preserve"> </w:t>
      </w:r>
      <w:r w:rsidRPr="00076A30">
        <w:t>godinu prema ekonomskoj klasifikaciji</w:t>
      </w:r>
      <w:r w:rsidR="00920838">
        <w:rPr>
          <w:lang w:val="pl-PL"/>
        </w:rPr>
        <w:t xml:space="preserve"> u odnosu na plan 2024</w:t>
      </w:r>
      <w:r w:rsidRPr="00076A30">
        <w:rPr>
          <w:lang w:val="pl-PL"/>
        </w:rPr>
        <w:t>. godine.</w:t>
      </w:r>
    </w:p>
    <w:p w14:paraId="00EE742B" w14:textId="77777777" w:rsidR="00DB20B6" w:rsidRPr="00972EF1" w:rsidRDefault="00DB20B6" w:rsidP="00DB20B6">
      <w:pPr>
        <w:jc w:val="both"/>
        <w:rPr>
          <w:highlight w:val="yellow"/>
          <w:lang w:val="pl-PL"/>
        </w:rPr>
      </w:pPr>
    </w:p>
    <w:p w14:paraId="7B29F609" w14:textId="77777777" w:rsidR="00BA38E9" w:rsidRDefault="00BA38E9" w:rsidP="00DB20B6">
      <w:pPr>
        <w:jc w:val="right"/>
        <w:rPr>
          <w:rFonts w:ascii="Calibri" w:hAnsi="Calibri"/>
          <w:b/>
          <w:bCs/>
          <w:sz w:val="22"/>
          <w:highlight w:val="yellow"/>
        </w:rPr>
      </w:pPr>
    </w:p>
    <w:tbl>
      <w:tblPr>
        <w:tblW w:w="10861" w:type="dxa"/>
        <w:jc w:val="center"/>
        <w:tblLook w:val="04A0" w:firstRow="1" w:lastRow="0" w:firstColumn="1" w:lastColumn="0" w:noHBand="0" w:noVBand="1"/>
      </w:tblPr>
      <w:tblGrid>
        <w:gridCol w:w="750"/>
        <w:gridCol w:w="4651"/>
        <w:gridCol w:w="1418"/>
        <w:gridCol w:w="1624"/>
        <w:gridCol w:w="1521"/>
        <w:gridCol w:w="1005"/>
      </w:tblGrid>
      <w:tr w:rsidR="00331A24" w:rsidRPr="00331A24" w14:paraId="44794271" w14:textId="77777777" w:rsidTr="00331A24">
        <w:trPr>
          <w:trHeight w:val="300"/>
          <w:jc w:val="center"/>
        </w:trPr>
        <w:tc>
          <w:tcPr>
            <w:tcW w:w="9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256F" w14:textId="4BAAFD7B" w:rsidR="00331A24" w:rsidRPr="00BA38E9" w:rsidRDefault="00331A24" w:rsidP="00331A24">
            <w:pPr>
              <w:jc w:val="both"/>
              <w:rPr>
                <w:b/>
                <w:bCs/>
                <w:sz w:val="22"/>
                <w:szCs w:val="20"/>
                <w:highlight w:val="yellow"/>
              </w:rPr>
            </w:pPr>
            <w:r w:rsidRPr="00BA38E9">
              <w:rPr>
                <w:b/>
                <w:bCs/>
                <w:sz w:val="22"/>
                <w:szCs w:val="20"/>
              </w:rPr>
              <w:t>Tablica 2: Struktura r</w:t>
            </w:r>
            <w:r w:rsidR="00E84877">
              <w:rPr>
                <w:b/>
                <w:bCs/>
                <w:sz w:val="22"/>
                <w:szCs w:val="20"/>
              </w:rPr>
              <w:t>ashoda Lučke uprave Senj za 2025. godinu u odnosu na plan 2024</w:t>
            </w:r>
            <w:r w:rsidRPr="00BA38E9">
              <w:rPr>
                <w:b/>
                <w:bCs/>
                <w:sz w:val="22"/>
                <w:szCs w:val="20"/>
              </w:rPr>
              <w:t>. godine</w:t>
            </w:r>
          </w:p>
          <w:p w14:paraId="3E83CEC1" w14:textId="3E464381" w:rsidR="00331A24" w:rsidRPr="00331A24" w:rsidRDefault="00331A24" w:rsidP="00331A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FA491" w14:textId="77777777" w:rsidR="00331A24" w:rsidRPr="00331A24" w:rsidRDefault="00331A24" w:rsidP="00331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A24">
              <w:rPr>
                <w:b/>
                <w:bCs/>
                <w:color w:val="000000"/>
                <w:sz w:val="20"/>
              </w:rPr>
              <w:t>u eurima</w:t>
            </w:r>
          </w:p>
        </w:tc>
      </w:tr>
      <w:tr w:rsidR="00331A24" w:rsidRPr="00331A24" w14:paraId="3B34AADE" w14:textId="77777777" w:rsidTr="00331A24">
        <w:trPr>
          <w:trHeight w:val="285"/>
          <w:jc w:val="center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F6B4E0" w14:textId="77777777" w:rsidR="00331A24" w:rsidRPr="00331A24" w:rsidRDefault="00331A24" w:rsidP="00331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A24">
              <w:rPr>
                <w:b/>
                <w:bCs/>
                <w:color w:val="000000"/>
                <w:sz w:val="20"/>
                <w:szCs w:val="20"/>
              </w:rPr>
              <w:t>Konto</w:t>
            </w:r>
          </w:p>
        </w:tc>
        <w:tc>
          <w:tcPr>
            <w:tcW w:w="4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85EEAF" w14:textId="77777777" w:rsidR="00331A24" w:rsidRPr="00331A24" w:rsidRDefault="00331A24" w:rsidP="00331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A24">
              <w:rPr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228C69" w14:textId="77777777" w:rsidR="00331A24" w:rsidRPr="00331A24" w:rsidRDefault="00331A24" w:rsidP="00331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A24">
              <w:rPr>
                <w:b/>
                <w:bCs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717401" w14:textId="77777777" w:rsidR="00331A24" w:rsidRPr="00331A24" w:rsidRDefault="00331A24" w:rsidP="00331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A24">
              <w:rPr>
                <w:b/>
                <w:bCs/>
                <w:color w:val="000000"/>
                <w:sz w:val="20"/>
                <w:szCs w:val="20"/>
              </w:rPr>
              <w:t>Povećanje/</w:t>
            </w:r>
            <w:r w:rsidRPr="00331A24">
              <w:rPr>
                <w:b/>
                <w:bCs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7C3EBB" w14:textId="77777777" w:rsidR="00331A24" w:rsidRPr="00331A24" w:rsidRDefault="00331A24" w:rsidP="00331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A24">
              <w:rPr>
                <w:b/>
                <w:bCs/>
                <w:color w:val="000000"/>
                <w:sz w:val="20"/>
                <w:szCs w:val="20"/>
              </w:rPr>
              <w:t>Plan za 2025.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7F42DB" w14:textId="77777777" w:rsidR="00331A24" w:rsidRPr="00331A24" w:rsidRDefault="00331A24" w:rsidP="00331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A24">
              <w:rPr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331A24" w:rsidRPr="00331A24" w14:paraId="720916C4" w14:textId="77777777" w:rsidTr="00331A24">
        <w:trPr>
          <w:trHeight w:val="285"/>
          <w:jc w:val="center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E249" w14:textId="77777777" w:rsidR="00331A24" w:rsidRPr="00331A24" w:rsidRDefault="00331A24" w:rsidP="00331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E9FB" w14:textId="77777777" w:rsidR="00331A24" w:rsidRPr="00331A24" w:rsidRDefault="00331A24" w:rsidP="00331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058C" w14:textId="77777777" w:rsidR="00331A24" w:rsidRPr="00331A24" w:rsidRDefault="00331A24" w:rsidP="00331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8AA5" w14:textId="77777777" w:rsidR="00331A24" w:rsidRPr="00331A24" w:rsidRDefault="00331A24" w:rsidP="00331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E463" w14:textId="77777777" w:rsidR="00331A24" w:rsidRPr="00331A24" w:rsidRDefault="00331A24" w:rsidP="00331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DB7AF7" w14:textId="77777777" w:rsidR="00331A24" w:rsidRPr="00331A24" w:rsidRDefault="00331A24" w:rsidP="00331A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1A24">
              <w:rPr>
                <w:b/>
                <w:bCs/>
                <w:color w:val="000000"/>
                <w:sz w:val="20"/>
                <w:szCs w:val="20"/>
              </w:rPr>
              <w:t>(5/3*100)</w:t>
            </w:r>
          </w:p>
        </w:tc>
      </w:tr>
      <w:tr w:rsidR="00331A24" w:rsidRPr="00331A24" w14:paraId="7080CFD0" w14:textId="77777777" w:rsidTr="00331A24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BB5084" w14:textId="77777777" w:rsidR="00331A24" w:rsidRPr="00331A24" w:rsidRDefault="00331A24" w:rsidP="00331A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1A24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0CC6C5" w14:textId="77777777" w:rsidR="00331A24" w:rsidRPr="00331A24" w:rsidRDefault="00331A24" w:rsidP="00331A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1A24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326636" w14:textId="77777777" w:rsidR="00331A24" w:rsidRPr="00331A24" w:rsidRDefault="00331A24" w:rsidP="00331A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1A24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87D5A6" w14:textId="77777777" w:rsidR="00331A24" w:rsidRPr="00331A24" w:rsidRDefault="00331A24" w:rsidP="00331A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1A24">
              <w:rPr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1C0556" w14:textId="77777777" w:rsidR="00331A24" w:rsidRPr="00331A24" w:rsidRDefault="00331A24" w:rsidP="00331A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1A24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05B1BF" w14:textId="77777777" w:rsidR="00331A24" w:rsidRPr="00331A24" w:rsidRDefault="00331A24" w:rsidP="00331A2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31A24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31A24" w:rsidRPr="00331A24" w14:paraId="514F5222" w14:textId="77777777" w:rsidTr="00331A24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6031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F491" w14:textId="77777777" w:rsidR="00331A24" w:rsidRPr="00331A24" w:rsidRDefault="00331A24" w:rsidP="00331A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446D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919.650,00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FD10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46.850,00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2521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966.500,00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466C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105,1</w:t>
            </w:r>
          </w:p>
        </w:tc>
      </w:tr>
      <w:tr w:rsidR="00331A24" w:rsidRPr="00331A24" w14:paraId="1286ABC0" w14:textId="77777777" w:rsidTr="00331A24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C554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5B2" w14:textId="77777777" w:rsidR="00331A24" w:rsidRPr="00331A24" w:rsidRDefault="00331A24" w:rsidP="00331A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Rashodi za radnike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F302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306.000,00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694B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144.200,00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4CB8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450.200,00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0D08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147,1</w:t>
            </w:r>
          </w:p>
        </w:tc>
      </w:tr>
      <w:tr w:rsidR="00331A24" w:rsidRPr="00331A24" w14:paraId="2E47D2A1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8EEF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4AC8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99F8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251.700,00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AB96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124.300,00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9A4B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376.000,00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1261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149,4</w:t>
            </w:r>
          </w:p>
        </w:tc>
      </w:tr>
      <w:tr w:rsidR="00331A24" w:rsidRPr="00331A24" w14:paraId="18AEAA65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3798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722B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Ostali rashodi za radnike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E56A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15.300,00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ED8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BE6A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15.200,00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E290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331A24" w:rsidRPr="00331A24" w14:paraId="1B02C234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B6BC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687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892E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39.000,00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5EEA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E922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59.000,00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AB0B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151,3</w:t>
            </w:r>
          </w:p>
        </w:tc>
      </w:tr>
      <w:tr w:rsidR="00331A24" w:rsidRPr="00331A24" w14:paraId="74732305" w14:textId="77777777" w:rsidTr="00331A24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0C72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D28" w14:textId="77777777" w:rsidR="00331A24" w:rsidRPr="00331A24" w:rsidRDefault="00331A24" w:rsidP="00331A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CF60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410.450,00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7BDA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-55.050,00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3C34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355.400,00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60D9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86,6</w:t>
            </w:r>
          </w:p>
        </w:tc>
      </w:tr>
      <w:tr w:rsidR="00331A24" w:rsidRPr="00331A24" w14:paraId="4E0BE647" w14:textId="77777777" w:rsidTr="00331A24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6DE2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421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1C58" w14:textId="77777777" w:rsidR="00331A24" w:rsidRPr="00331A24" w:rsidRDefault="00331A24" w:rsidP="00331A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Naknade troškova radnicima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1A03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B582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-1.000,00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0A61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F005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66,7</w:t>
            </w:r>
          </w:p>
        </w:tc>
      </w:tr>
      <w:tr w:rsidR="00331A24" w:rsidRPr="00331A24" w14:paraId="1E53252F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1260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4211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CBE3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Službena putovanja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833C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3803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B32B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4306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1A24" w:rsidRPr="00331A24" w14:paraId="1EBCC8CE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340B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4212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E23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Naknada za prijevoz, za rad na terenu i odvojeni život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CD2B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DD44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-1.000,00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29E2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9512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31A24" w:rsidRPr="00331A24" w14:paraId="7A762327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44A7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4213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EE4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Stručno usavršavanje radnika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7A98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1B26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3314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81E6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1A24" w:rsidRPr="00331A24" w14:paraId="4243D43A" w14:textId="77777777" w:rsidTr="00331A24">
        <w:trPr>
          <w:trHeight w:val="57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7DC4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422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7F93" w14:textId="77777777" w:rsidR="00331A24" w:rsidRPr="00331A24" w:rsidRDefault="00331A24" w:rsidP="00331A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Naknade članovima u predstavničkim i izvršnim tijelima, povjerenstvima i sl.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0D29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8.200,00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A0CE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6.800,00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E08B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08F1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</w:tr>
      <w:tr w:rsidR="00331A24" w:rsidRPr="00331A24" w14:paraId="4151B711" w14:textId="77777777" w:rsidTr="00331A24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8445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424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24AE" w14:textId="77777777" w:rsidR="00331A24" w:rsidRPr="00331A24" w:rsidRDefault="00331A24" w:rsidP="00331A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Naknade ostalim osobama izvan radnog odnosa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0A58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915C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4386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4.500,00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41FF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225,0</w:t>
            </w:r>
          </w:p>
        </w:tc>
      </w:tr>
      <w:tr w:rsidR="00331A24" w:rsidRPr="00331A24" w14:paraId="3FA63BD0" w14:textId="77777777" w:rsidTr="00331A24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E26F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425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5AB" w14:textId="77777777" w:rsidR="00331A24" w:rsidRPr="00331A24" w:rsidRDefault="00331A24" w:rsidP="00331A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0903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338.250,00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9466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-69.150,00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04DD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269.100,00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7D35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79,6</w:t>
            </w:r>
          </w:p>
        </w:tc>
      </w:tr>
      <w:tr w:rsidR="00331A24" w:rsidRPr="00331A24" w14:paraId="73F74E66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6111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4251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C675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Usluge telefona, pošte i prijevoza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44F4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6.200,00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254C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BA95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6.500,00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EE93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104,8</w:t>
            </w:r>
          </w:p>
        </w:tc>
      </w:tr>
      <w:tr w:rsidR="00331A24" w:rsidRPr="00331A24" w14:paraId="2ED9EA37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8674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4252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374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67F6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108.800,00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14B9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-39.700,00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B434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69.100,00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152A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63,5</w:t>
            </w:r>
          </w:p>
        </w:tc>
      </w:tr>
      <w:tr w:rsidR="00331A24" w:rsidRPr="00331A24" w14:paraId="4D9390C3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006A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4253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EACD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Usluge promidžbe i informiranja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A3E6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77D6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18F1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CB57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1A24" w:rsidRPr="00331A24" w14:paraId="4D2E2135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5F9C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4254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430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 xml:space="preserve">Komunalne usluge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87F9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33.000,00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40AF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-1.000,00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79A1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D94C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331A24" w:rsidRPr="00331A24" w14:paraId="37C7C25C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DDF8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4255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6CA0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Zakupnine i najamnine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27F0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1F05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CDF7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3.500,00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840E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116,7</w:t>
            </w:r>
          </w:p>
        </w:tc>
      </w:tr>
      <w:tr w:rsidR="00331A24" w:rsidRPr="00331A24" w14:paraId="7337B65F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22E2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4256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FB4F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Zdravstvene i veterinarske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0347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A51F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4012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DA05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31A24" w:rsidRPr="00331A24" w14:paraId="0CC569D8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626F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4257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02FB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3C0A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182.500,00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11D8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-30.000,00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4683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152.500,00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EE85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83,6</w:t>
            </w:r>
          </w:p>
        </w:tc>
      </w:tr>
      <w:tr w:rsidR="00331A24" w:rsidRPr="00331A24" w14:paraId="2728ED2B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2AF6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4258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C847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Računalne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C61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3DE3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ED3A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BA04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1A24" w:rsidRPr="00331A24" w14:paraId="77B84051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498F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4259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2F8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Ostale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0CC6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E91D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C790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CAD7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1A24" w:rsidRPr="00331A24" w14:paraId="1FFC60CB" w14:textId="77777777" w:rsidTr="00331A24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55B0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426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149" w14:textId="77777777" w:rsidR="00331A24" w:rsidRPr="00331A24" w:rsidRDefault="00331A24" w:rsidP="00331A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9391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26.500,00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F9DE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-700,00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8B77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25.800,00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61EC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97,4</w:t>
            </w:r>
          </w:p>
        </w:tc>
      </w:tr>
      <w:tr w:rsidR="00331A24" w:rsidRPr="00331A24" w14:paraId="4DF4C6C4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1F38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4261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6827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A4F1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3.500,00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864C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-700,00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D5CB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2.800,00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B1D3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31A24" w:rsidRPr="00331A24" w14:paraId="31039E4E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223F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4263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AAF1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Energija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DA81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89D6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C410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7440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1A24" w:rsidRPr="00331A24" w14:paraId="454596D6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F51E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4264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777C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Sitan inventar i auto gume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A5FE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C1DD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-1.000,00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04CA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9A7D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31A24" w:rsidRPr="00331A24" w14:paraId="5A1D85A9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5906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4266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0762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Radna odjeća i obuća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A07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76B4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87CC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5DA0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31A24" w:rsidRPr="00331A24" w14:paraId="3F8F83DC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89A0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4267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81CF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Materijal za tekuće održavanje (lanci, konopi, bove i sl.)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D55E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31AB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41A3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0638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31A24" w:rsidRPr="00331A24" w14:paraId="1F93B934" w14:textId="77777777" w:rsidTr="00331A24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6FE0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429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639" w14:textId="3EB27292" w:rsidR="00331A24" w:rsidRPr="00331A24" w:rsidRDefault="00331A24" w:rsidP="00BB69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 xml:space="preserve">Ostali nespomenuti </w:t>
            </w:r>
            <w:r w:rsidR="00BB6904">
              <w:rPr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10AC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32.500,00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428A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6.500,00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A0D8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39.000,00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49ED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331A24" w:rsidRPr="00331A24" w14:paraId="763CC839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CAE6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4291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9D37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Premije osiguranja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21A6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9401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3.500,00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B4C4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26.500,00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AB35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115,2</w:t>
            </w:r>
          </w:p>
        </w:tc>
      </w:tr>
      <w:tr w:rsidR="00331A24" w:rsidRPr="00331A24" w14:paraId="349267D6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26D9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4292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B4A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Reprezentacija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B228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3.500,00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A549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6.500,00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CBFD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AD62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285,7</w:t>
            </w:r>
          </w:p>
        </w:tc>
      </w:tr>
      <w:tr w:rsidR="00331A24" w:rsidRPr="00331A24" w14:paraId="4ADF7974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5169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4293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CB9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Članarine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FE7C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9663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4EC5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D0AF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1A24" w:rsidRPr="00331A24" w14:paraId="769F979F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3399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4294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A53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Kotizacije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CB31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1F8B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045D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6111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#DIV/0!</w:t>
            </w:r>
          </w:p>
        </w:tc>
      </w:tr>
      <w:tr w:rsidR="00331A24" w:rsidRPr="00331A24" w14:paraId="6C1B0C20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B5C8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4295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9FC9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Ostali nespomenuti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AB99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F4A8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-3.500,00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B669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1.500,00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AAC4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31A24" w:rsidRPr="00331A24" w14:paraId="3EE1B297" w14:textId="77777777" w:rsidTr="00331A24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092E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16BB" w14:textId="77777777" w:rsidR="00331A24" w:rsidRPr="00331A24" w:rsidRDefault="00331A24" w:rsidP="00331A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Amortizacija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E8C9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5397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A943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4E47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31A24" w:rsidRPr="00331A24" w14:paraId="0107B842" w14:textId="77777777" w:rsidTr="00331A24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188E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FE4B" w14:textId="77777777" w:rsidR="00331A24" w:rsidRPr="00331A24" w:rsidRDefault="00331A24" w:rsidP="00331A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3CB7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45.600,00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1E89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-39.700,00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3062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5.900,00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E56F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12,9</w:t>
            </w:r>
          </w:p>
        </w:tc>
      </w:tr>
      <w:tr w:rsidR="00331A24" w:rsidRPr="00331A24" w14:paraId="20EC1273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62CB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4421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BCAC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Kamate na primljene kredite banaka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D6EE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5.200,00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52C0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-700,00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495F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4.500,00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8F23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86,5</w:t>
            </w:r>
          </w:p>
        </w:tc>
      </w:tr>
      <w:tr w:rsidR="00331A24" w:rsidRPr="00331A24" w14:paraId="638016FA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8C5D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4431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834E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Bankarske usluge i usluge platnog prometa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3807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4.500,00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4593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-3.800,00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FADC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9753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15,6</w:t>
            </w:r>
          </w:p>
        </w:tc>
      </w:tr>
      <w:tr w:rsidR="00331A24" w:rsidRPr="00331A24" w14:paraId="676A5E9F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6E21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4433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4C1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Zatezna kamata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CEA4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25.200,00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6211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-24.900,00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DCA6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A82B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331A24" w:rsidRPr="00331A24" w14:paraId="03CEA43E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F444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4434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D43B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Ostali nespomenuti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BB45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10.700,00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05C1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-10.300,00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A616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8644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331A24" w:rsidRPr="00331A24" w14:paraId="07C027A7" w14:textId="77777777" w:rsidTr="00331A24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8138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F8A5" w14:textId="77777777" w:rsidR="00331A24" w:rsidRPr="00331A24" w:rsidRDefault="00331A24" w:rsidP="00331A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875E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E82E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0E0B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93F6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#DIV/0!</w:t>
            </w:r>
          </w:p>
        </w:tc>
      </w:tr>
      <w:tr w:rsidR="00331A24" w:rsidRPr="00331A24" w14:paraId="55DCF66F" w14:textId="77777777" w:rsidTr="00331A24">
        <w:trPr>
          <w:trHeight w:val="28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D8A1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83B7" w14:textId="77777777" w:rsidR="00331A24" w:rsidRPr="00331A24" w:rsidRDefault="00331A24" w:rsidP="00331A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B443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7.600,00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2B54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-2.600,00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302D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EF17" w14:textId="77777777" w:rsidR="00331A24" w:rsidRPr="00331A24" w:rsidRDefault="00331A24" w:rsidP="00331A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31A24">
              <w:rPr>
                <w:b/>
                <w:bCs/>
                <w:color w:val="000000"/>
                <w:sz w:val="22"/>
                <w:szCs w:val="22"/>
              </w:rPr>
              <w:t>65,8</w:t>
            </w:r>
          </w:p>
        </w:tc>
      </w:tr>
      <w:tr w:rsidR="00331A24" w:rsidRPr="00331A24" w14:paraId="3B64B457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D931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4614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09C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Ugovorne kazne i ostale naknade štete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7945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3BC9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-3.000,00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6131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601B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31A24" w:rsidRPr="00331A24" w14:paraId="000D94CA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40DA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4622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BD78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Otpisana potraživanja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6900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1EFC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784D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D1C7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1A24" w:rsidRPr="00331A24" w14:paraId="451B2AD0" w14:textId="77777777" w:rsidTr="00331A24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C687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4624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4E9" w14:textId="77777777" w:rsidR="00331A24" w:rsidRPr="00331A24" w:rsidRDefault="00331A24" w:rsidP="00331A24">
            <w:pPr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Ostali nespomenuti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AB25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5E85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103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1883" w14:textId="77777777" w:rsidR="00331A24" w:rsidRPr="00331A24" w:rsidRDefault="00331A24" w:rsidP="00331A24">
            <w:pPr>
              <w:jc w:val="right"/>
              <w:rPr>
                <w:color w:val="000000"/>
                <w:sz w:val="22"/>
                <w:szCs w:val="22"/>
              </w:rPr>
            </w:pPr>
            <w:r w:rsidRPr="00331A24">
              <w:rPr>
                <w:color w:val="000000"/>
                <w:sz w:val="22"/>
                <w:szCs w:val="22"/>
              </w:rPr>
              <w:t>166,7</w:t>
            </w:r>
          </w:p>
        </w:tc>
      </w:tr>
    </w:tbl>
    <w:p w14:paraId="347FACBD" w14:textId="14E2ACCD" w:rsidR="00F474F5" w:rsidRPr="00F474F5" w:rsidRDefault="00F474F5" w:rsidP="00457D61">
      <w:pPr>
        <w:ind w:firstLine="426"/>
        <w:jc w:val="both"/>
        <w:rPr>
          <w:bCs/>
        </w:rPr>
      </w:pPr>
      <w:r w:rsidRPr="00F474F5">
        <w:rPr>
          <w:bCs/>
        </w:rPr>
        <w:lastRenderedPageBreak/>
        <w:t>Iz navedene tablice vidljivo je povećanje rashoda za 2025. godinu od 46.850,00 eura, nastalo kao rezultat planiranja većih rashoda za radnike za 144.200,00 eura, dok su se s druge strane smanjili materijalni rashodi za 55.050,00 eura</w:t>
      </w:r>
      <w:r w:rsidR="0008414F">
        <w:rPr>
          <w:bCs/>
        </w:rPr>
        <w:t xml:space="preserve">, </w:t>
      </w:r>
      <w:r w:rsidRPr="00F474F5">
        <w:rPr>
          <w:bCs/>
        </w:rPr>
        <w:t>financijski rashodi za 39.700,00 eura</w:t>
      </w:r>
      <w:r w:rsidR="0008414F">
        <w:rPr>
          <w:bCs/>
        </w:rPr>
        <w:t xml:space="preserve"> i ostali rashodi za 2.600,00 eura.</w:t>
      </w:r>
      <w:r w:rsidR="00DB20B6" w:rsidRPr="00F474F5">
        <w:rPr>
          <w:bCs/>
        </w:rPr>
        <w:tab/>
      </w:r>
    </w:p>
    <w:p w14:paraId="7FB7A039" w14:textId="77777777" w:rsidR="0032258E" w:rsidRDefault="0032258E" w:rsidP="00DB20B6">
      <w:pPr>
        <w:ind w:firstLine="708"/>
        <w:jc w:val="both"/>
        <w:rPr>
          <w:bCs/>
        </w:rPr>
      </w:pPr>
    </w:p>
    <w:p w14:paraId="18632037" w14:textId="77510DCF" w:rsidR="00621472" w:rsidRDefault="00381FD1" w:rsidP="00457D61">
      <w:pPr>
        <w:ind w:firstLine="426"/>
        <w:jc w:val="both"/>
        <w:rPr>
          <w:rFonts w:eastAsia="Calibri"/>
        </w:rPr>
      </w:pPr>
      <w:r w:rsidRPr="00381FD1">
        <w:rPr>
          <w:rFonts w:eastAsia="Calibri"/>
          <w:u w:val="single"/>
        </w:rPr>
        <w:t>RASHODI ZA RADNIKE (skupina računa 41)</w:t>
      </w:r>
      <w:r w:rsidRPr="00621472">
        <w:rPr>
          <w:rFonts w:eastAsia="Calibri"/>
        </w:rPr>
        <w:t xml:space="preserve"> obuhvaćaju bruto plaće i doprinose na plaće s planiranim g</w:t>
      </w:r>
      <w:r w:rsidRPr="00381FD1">
        <w:rPr>
          <w:rFonts w:eastAsia="Calibri"/>
        </w:rPr>
        <w:t>odišnjim nagradama, dar</w:t>
      </w:r>
      <w:r>
        <w:rPr>
          <w:rFonts w:eastAsia="Calibri"/>
        </w:rPr>
        <w:t>ovima djeci radnika i otpremninu</w:t>
      </w:r>
      <w:r w:rsidR="00E77320">
        <w:rPr>
          <w:rFonts w:eastAsia="Calibri"/>
        </w:rPr>
        <w:t>. Planirani rashodi u 2025. iznose 450.200,00 eura, što predstavlja povećanje za 144.200,00 eura ili za 47,1% u odnosu na plan 2024. godine. Na povećanje rashoda za radnike utjecalo je planirano povećanje sredstava za plaće i doprinose na plaće.</w:t>
      </w:r>
    </w:p>
    <w:p w14:paraId="21E79CDC" w14:textId="6BCE45BE" w:rsidR="00621472" w:rsidRPr="00CD15B5" w:rsidRDefault="00621472" w:rsidP="00457D61">
      <w:pPr>
        <w:ind w:firstLine="426"/>
        <w:jc w:val="both"/>
        <w:rPr>
          <w:rFonts w:eastAsia="Calibri"/>
          <w:lang w:eastAsia="en-US"/>
        </w:rPr>
      </w:pPr>
      <w:r w:rsidRPr="00621472">
        <w:rPr>
          <w:rFonts w:eastAsia="Calibri"/>
          <w:u w:val="single"/>
          <w:lang w:eastAsia="en-US"/>
        </w:rPr>
        <w:t xml:space="preserve">MATERIJALNI RASHODI </w:t>
      </w:r>
      <w:r w:rsidRPr="00621472">
        <w:rPr>
          <w:rFonts w:eastAsia="Calibri"/>
          <w:u w:val="single"/>
        </w:rPr>
        <w:t>(s</w:t>
      </w:r>
      <w:r w:rsidRPr="00621472">
        <w:rPr>
          <w:rFonts w:eastAsia="Calibri"/>
          <w:u w:val="single"/>
          <w:lang w:eastAsia="en-US"/>
        </w:rPr>
        <w:t>kupina računa 42</w:t>
      </w:r>
      <w:r w:rsidRPr="00621472">
        <w:rPr>
          <w:rFonts w:eastAsia="Calibri"/>
          <w:lang w:eastAsia="en-US"/>
        </w:rPr>
        <w:t>) planirani su u iznosu od 355.400,00 eura, odnosno sa smanjenjem od 55.050,00 eura</w:t>
      </w:r>
      <w:r w:rsidR="00CD15B5">
        <w:rPr>
          <w:rFonts w:eastAsia="Calibri"/>
          <w:lang w:eastAsia="en-US"/>
        </w:rPr>
        <w:t xml:space="preserve"> ili za 13,4%, a obuhvaćaju:</w:t>
      </w:r>
    </w:p>
    <w:p w14:paraId="63568B93" w14:textId="7802ACFC" w:rsidR="00CD15B5" w:rsidRPr="00026C64" w:rsidRDefault="00DB20B6" w:rsidP="00F945E0">
      <w:pPr>
        <w:numPr>
          <w:ilvl w:val="0"/>
          <w:numId w:val="1"/>
        </w:numPr>
        <w:ind w:left="284" w:hanging="284"/>
        <w:jc w:val="both"/>
        <w:rPr>
          <w:rFonts w:eastAsia="Calibri"/>
          <w:lang w:eastAsia="en-US"/>
        </w:rPr>
      </w:pPr>
      <w:r w:rsidRPr="00026C64">
        <w:rPr>
          <w:rFonts w:eastAsia="Calibri"/>
          <w:lang w:eastAsia="en-US"/>
        </w:rPr>
        <w:t xml:space="preserve">Naknade troškova radnicima – podskupina računa 421 (službena putovanja, naknade za prijevoz, stručno usavršavanje radnika), </w:t>
      </w:r>
      <w:r w:rsidR="00CD15B5" w:rsidRPr="00026C64">
        <w:rPr>
          <w:rFonts w:eastAsia="Calibri"/>
          <w:lang w:eastAsia="en-US"/>
        </w:rPr>
        <w:t xml:space="preserve">planirane su u ukupnom iznosu od </w:t>
      </w:r>
      <w:r w:rsidR="00CC1E1D" w:rsidRPr="00026C64">
        <w:rPr>
          <w:rFonts w:eastAsia="Calibri"/>
          <w:lang w:eastAsia="en-US"/>
        </w:rPr>
        <w:t>2.000,00 eura, odnosno s smanjenjem od 1.000,00 eura vezano za sredstava za naknadu za prijevoz na posao i s posla koja nisu planirana u 2025. godini, u odnosu na plan 2024. godine, dok su ostale naknade troškova radnika ostale na razini plana 2024. godine.</w:t>
      </w:r>
    </w:p>
    <w:p w14:paraId="64696010" w14:textId="0A939B32" w:rsidR="00DB20B6" w:rsidRPr="0093324F" w:rsidRDefault="00DB20B6" w:rsidP="00F945E0">
      <w:pPr>
        <w:numPr>
          <w:ilvl w:val="0"/>
          <w:numId w:val="1"/>
        </w:numPr>
        <w:ind w:left="284" w:hanging="284"/>
        <w:jc w:val="both"/>
        <w:rPr>
          <w:rFonts w:eastAsia="Calibri"/>
          <w:lang w:eastAsia="en-US"/>
        </w:rPr>
      </w:pPr>
      <w:r w:rsidRPr="0093324F">
        <w:rPr>
          <w:rFonts w:eastAsia="Calibri"/>
          <w:lang w:eastAsia="en-US"/>
        </w:rPr>
        <w:t>Naknade članovima u predstavničkim i izvršnim tijelima, povjeren</w:t>
      </w:r>
      <w:r w:rsidR="0093324F">
        <w:rPr>
          <w:rFonts w:eastAsia="Calibri"/>
          <w:lang w:eastAsia="en-US"/>
        </w:rPr>
        <w:t xml:space="preserve">stvima i sl. (podskupina računa </w:t>
      </w:r>
      <w:r w:rsidRPr="0093324F">
        <w:rPr>
          <w:rFonts w:eastAsia="Calibri"/>
          <w:lang w:eastAsia="en-US"/>
        </w:rPr>
        <w:t>422) odnose se na naknade troškova članovima upravnog vijeća koje su planirane s povećanjem</w:t>
      </w:r>
      <w:r w:rsidR="00026C64" w:rsidRPr="0093324F">
        <w:rPr>
          <w:rFonts w:eastAsia="Calibri"/>
          <w:lang w:eastAsia="en-US"/>
        </w:rPr>
        <w:t xml:space="preserve"> od 6.800,00 eura ili za 82,9% </w:t>
      </w:r>
      <w:r w:rsidRPr="0093324F">
        <w:rPr>
          <w:rFonts w:eastAsia="Calibri"/>
          <w:lang w:eastAsia="en-US"/>
        </w:rPr>
        <w:t>i iste iznose 15.000,00 eura.</w:t>
      </w:r>
    </w:p>
    <w:p w14:paraId="4B72BAB1" w14:textId="4A070674" w:rsidR="00F945E0" w:rsidRPr="00F945E0" w:rsidRDefault="00DB20B6" w:rsidP="00F945E0">
      <w:pPr>
        <w:numPr>
          <w:ilvl w:val="0"/>
          <w:numId w:val="1"/>
        </w:numPr>
        <w:ind w:left="284" w:hanging="284"/>
        <w:jc w:val="both"/>
        <w:rPr>
          <w:rFonts w:eastAsia="Calibri"/>
          <w:lang w:eastAsia="en-US"/>
        </w:rPr>
      </w:pPr>
      <w:r w:rsidRPr="00E96212">
        <w:rPr>
          <w:rFonts w:eastAsia="Calibri"/>
          <w:lang w:eastAsia="en-US"/>
        </w:rPr>
        <w:t>Naknade ostalim osobama izvan radnog odnosa – autorski ugovori, ugovori o djelu i ostale naknade (podskupina</w:t>
      </w:r>
      <w:r w:rsidR="00E96212" w:rsidRPr="00E96212">
        <w:rPr>
          <w:rFonts w:eastAsia="Calibri"/>
          <w:lang w:eastAsia="en-US"/>
        </w:rPr>
        <w:t xml:space="preserve"> računa 424) planiraju se u 2025. godini u iznosu od 4.500,00 eura, što je 225% plana 2024</w:t>
      </w:r>
      <w:r w:rsidRPr="00E96212">
        <w:rPr>
          <w:rFonts w:eastAsia="Calibri"/>
          <w:lang w:eastAsia="en-US"/>
        </w:rPr>
        <w:t>. godine,</w:t>
      </w:r>
      <w:r w:rsidR="00E96212" w:rsidRPr="00E96212">
        <w:rPr>
          <w:rFonts w:eastAsia="Calibri"/>
          <w:lang w:eastAsia="en-US"/>
        </w:rPr>
        <w:t xml:space="preserve"> odnosno povećanje za 2.500,00 eura,</w:t>
      </w:r>
      <w:r w:rsidRPr="00E96212">
        <w:rPr>
          <w:rFonts w:eastAsia="Calibri"/>
          <w:lang w:eastAsia="en-US"/>
        </w:rPr>
        <w:t xml:space="preserve"> a obuhvaćaju samo rashode z</w:t>
      </w:r>
      <w:r w:rsidR="00E96212" w:rsidRPr="00E96212">
        <w:rPr>
          <w:rFonts w:eastAsia="Calibri"/>
          <w:lang w:eastAsia="en-US"/>
        </w:rPr>
        <w:t>a ugovore</w:t>
      </w:r>
      <w:r w:rsidRPr="00E96212">
        <w:rPr>
          <w:rFonts w:eastAsia="Calibri"/>
          <w:lang w:eastAsia="en-US"/>
        </w:rPr>
        <w:t xml:space="preserve"> o djelu. </w:t>
      </w:r>
    </w:p>
    <w:p w14:paraId="4002D84A" w14:textId="7BEAF137" w:rsidR="00944B71" w:rsidRPr="00591569" w:rsidRDefault="00DB20B6" w:rsidP="00F945E0">
      <w:pPr>
        <w:numPr>
          <w:ilvl w:val="0"/>
          <w:numId w:val="1"/>
        </w:numPr>
        <w:ind w:left="284" w:hanging="284"/>
        <w:jc w:val="both"/>
        <w:rPr>
          <w:rFonts w:eastAsia="Calibri"/>
          <w:lang w:eastAsia="en-US"/>
        </w:rPr>
      </w:pPr>
      <w:r w:rsidRPr="00591569">
        <w:rPr>
          <w:rFonts w:eastAsia="Calibri"/>
          <w:lang w:eastAsia="en-US"/>
        </w:rPr>
        <w:t xml:space="preserve">Rashodi za usluge (podskupina računa 425) </w:t>
      </w:r>
      <w:r w:rsidR="00944B71" w:rsidRPr="00591569">
        <w:rPr>
          <w:rFonts w:eastAsia="Calibri"/>
          <w:lang w:eastAsia="en-US"/>
        </w:rPr>
        <w:t xml:space="preserve">bilježi smanjenje za 69.150,00 eura ili za 20,4% i iznose </w:t>
      </w:r>
      <w:r w:rsidR="00D353CC">
        <w:rPr>
          <w:rFonts w:eastAsia="Calibri"/>
          <w:lang w:eastAsia="en-US"/>
        </w:rPr>
        <w:t>269.1</w:t>
      </w:r>
      <w:r w:rsidR="00944B71" w:rsidRPr="00591569">
        <w:rPr>
          <w:rFonts w:eastAsia="Calibri"/>
          <w:lang w:eastAsia="en-US"/>
        </w:rPr>
        <w:t>00,00 eura namijenjenih za u</w:t>
      </w:r>
      <w:r w:rsidR="00944B71" w:rsidRPr="00591569">
        <w:t>sluge telefona, pošte i prijevoza, tekućeg i investicijskog</w:t>
      </w:r>
      <w:r w:rsidR="00574341">
        <w:t xml:space="preserve"> </w:t>
      </w:r>
      <w:r w:rsidR="00944B71" w:rsidRPr="00591569">
        <w:t>održavanja, usluge promidžbe i informiranja, komunalne usluge, zakupnine i najamnine, zdravstvene usluge, intelektualne i osobne usluge, računalne usluge i ostale usluge. U okviru rashoda za usluge najveće smanjenje</w:t>
      </w:r>
      <w:r w:rsidR="00591569" w:rsidRPr="00591569">
        <w:t xml:space="preserve"> od 39.700,00 eura bilježe rashodi za usluge tekućeg i investicijskog održavanja. </w:t>
      </w:r>
    </w:p>
    <w:p w14:paraId="42F0B0C5" w14:textId="132F98D7" w:rsidR="00DB20B6" w:rsidRDefault="00DB20B6" w:rsidP="00F945E0">
      <w:pPr>
        <w:numPr>
          <w:ilvl w:val="0"/>
          <w:numId w:val="1"/>
        </w:numPr>
        <w:ind w:left="284" w:hanging="284"/>
        <w:jc w:val="both"/>
        <w:rPr>
          <w:rFonts w:eastAsia="Calibri"/>
          <w:lang w:eastAsia="en-US"/>
        </w:rPr>
      </w:pPr>
      <w:r w:rsidRPr="00384F99">
        <w:rPr>
          <w:rFonts w:eastAsia="Calibri"/>
          <w:lang w:eastAsia="en-US"/>
        </w:rPr>
        <w:t xml:space="preserve">Rashodi za materijal i energiju (podskupina računa </w:t>
      </w:r>
      <w:r w:rsidR="00384F99" w:rsidRPr="00384F99">
        <w:rPr>
          <w:rFonts w:eastAsia="Calibri"/>
          <w:lang w:eastAsia="en-US"/>
        </w:rPr>
        <w:t xml:space="preserve">426) planiraju se u iznosu od 25.800,00 eura, </w:t>
      </w:r>
      <w:r w:rsidRPr="00384F99">
        <w:rPr>
          <w:rFonts w:eastAsia="Calibri"/>
          <w:lang w:eastAsia="en-US"/>
        </w:rPr>
        <w:t xml:space="preserve">a uključuju rashode za uredski materijal i ostale materijalne rashode, energiju (gorivo i električna energija), sitan inventar i autogume, nabavu radne odjeće i </w:t>
      </w:r>
      <w:r w:rsidRPr="00A22D9D">
        <w:rPr>
          <w:rFonts w:eastAsia="Calibri"/>
          <w:lang w:eastAsia="en-US"/>
        </w:rPr>
        <w:t>obuće te materijal za tekuće i investicijsko održavanje (lanci, konopi, bove).</w:t>
      </w:r>
    </w:p>
    <w:p w14:paraId="1677320F" w14:textId="38F33CC5" w:rsidR="00167EC5" w:rsidRPr="00F945E0" w:rsidRDefault="00DB20B6" w:rsidP="00F945E0">
      <w:pPr>
        <w:numPr>
          <w:ilvl w:val="0"/>
          <w:numId w:val="1"/>
        </w:numPr>
        <w:ind w:left="284" w:hanging="284"/>
        <w:jc w:val="both"/>
        <w:rPr>
          <w:rFonts w:eastAsia="Calibri"/>
          <w:lang w:eastAsia="en-US"/>
        </w:rPr>
      </w:pPr>
      <w:r w:rsidRPr="00E731C3">
        <w:rPr>
          <w:rFonts w:eastAsia="Calibri"/>
          <w:lang w:eastAsia="en-US"/>
        </w:rPr>
        <w:t xml:space="preserve">Ostali nespomenuti </w:t>
      </w:r>
      <w:r w:rsidR="00BB6904" w:rsidRPr="00E731C3">
        <w:rPr>
          <w:rFonts w:eastAsia="Calibri"/>
          <w:lang w:eastAsia="en-US"/>
        </w:rPr>
        <w:t>materijalni rashodi</w:t>
      </w:r>
      <w:r w:rsidRPr="00E731C3">
        <w:rPr>
          <w:rFonts w:eastAsia="Calibri"/>
          <w:lang w:eastAsia="en-US"/>
        </w:rPr>
        <w:t xml:space="preserve"> (podskupina računa 429) obuhvaćaju planirane rashode za </w:t>
      </w:r>
      <w:r w:rsidRPr="00A22D9D">
        <w:t>premije osiguranja, reprezentaciju, članarine, kotizacije i ostale nespomenute materijalne ras</w:t>
      </w:r>
      <w:r w:rsidR="00BB6904" w:rsidRPr="00A22D9D">
        <w:t>hode planirane u iznosu od  39.0</w:t>
      </w:r>
      <w:r w:rsidRPr="00A22D9D">
        <w:t xml:space="preserve">00,00 eura, što predstavlja </w:t>
      </w:r>
      <w:r w:rsidR="00BB6904" w:rsidRPr="00A22D9D">
        <w:t>povećanje</w:t>
      </w:r>
      <w:r w:rsidR="005901E7" w:rsidRPr="00A22D9D">
        <w:t xml:space="preserve"> za 6.500,00 eura ili za 20% u odnosu na plan 2024. godine od 32</w:t>
      </w:r>
      <w:r w:rsidRPr="00A22D9D">
        <w:t>.500,00 eura. U okviru navedenih rashoda planirano je povećanje rashoda za premije osiguranja</w:t>
      </w:r>
      <w:r w:rsidR="003503CF" w:rsidRPr="00A22D9D">
        <w:t xml:space="preserve"> i za reprezentaciju, </w:t>
      </w:r>
      <w:r w:rsidRPr="00A22D9D">
        <w:t>dok se smanjuju rashodi za ostale nespomenute materijalne rashode</w:t>
      </w:r>
      <w:r w:rsidR="00167EC5">
        <w:t>.</w:t>
      </w:r>
    </w:p>
    <w:p w14:paraId="3DD0D2B8" w14:textId="066FD226" w:rsidR="001138C4" w:rsidRDefault="007C2E3D" w:rsidP="00457D61">
      <w:pPr>
        <w:ind w:firstLine="426"/>
        <w:jc w:val="both"/>
        <w:rPr>
          <w:rFonts w:eastAsia="Calibri"/>
          <w:lang w:eastAsia="en-US"/>
        </w:rPr>
      </w:pPr>
      <w:r w:rsidRPr="00167EC5">
        <w:rPr>
          <w:rFonts w:eastAsia="Calibri"/>
          <w:u w:val="single"/>
          <w:lang w:eastAsia="en-US"/>
        </w:rPr>
        <w:t xml:space="preserve">AMORTIZACIJA </w:t>
      </w:r>
      <w:r w:rsidR="00DB20B6" w:rsidRPr="00167EC5">
        <w:rPr>
          <w:rFonts w:eastAsia="Calibri"/>
          <w:u w:val="single"/>
        </w:rPr>
        <w:t>(s</w:t>
      </w:r>
      <w:r w:rsidR="00DB20B6" w:rsidRPr="00167EC5">
        <w:rPr>
          <w:rFonts w:eastAsia="Calibri"/>
          <w:u w:val="single"/>
          <w:lang w:eastAsia="en-US"/>
        </w:rPr>
        <w:t>kupina računa 43)</w:t>
      </w:r>
      <w:r w:rsidR="00DB20B6" w:rsidRPr="00167EC5">
        <w:rPr>
          <w:rFonts w:eastAsia="Calibri"/>
          <w:lang w:eastAsia="en-US"/>
        </w:rPr>
        <w:t xml:space="preserve"> je ostala nepr</w:t>
      </w:r>
      <w:r w:rsidR="00950E08" w:rsidRPr="00167EC5">
        <w:rPr>
          <w:rFonts w:eastAsia="Calibri"/>
          <w:lang w:eastAsia="en-US"/>
        </w:rPr>
        <w:t>omijenjena u odnosu na plan 2024</w:t>
      </w:r>
      <w:r w:rsidR="00DB20B6" w:rsidRPr="00167EC5">
        <w:rPr>
          <w:rFonts w:eastAsia="Calibri"/>
          <w:lang w:eastAsia="en-US"/>
        </w:rPr>
        <w:t xml:space="preserve">. godine i iznosi 150.000,00 eura. </w:t>
      </w:r>
    </w:p>
    <w:p w14:paraId="5CF6B6A2" w14:textId="1E3EF0B3" w:rsidR="00174049" w:rsidRDefault="00DB20B6" w:rsidP="00457D61">
      <w:pPr>
        <w:ind w:firstLine="426"/>
        <w:jc w:val="both"/>
        <w:rPr>
          <w:rFonts w:eastAsia="Calibri"/>
          <w:lang w:eastAsia="en-US"/>
        </w:rPr>
      </w:pPr>
      <w:r w:rsidRPr="001539F4">
        <w:rPr>
          <w:rFonts w:eastAsia="Calibri"/>
          <w:u w:val="single"/>
          <w:lang w:eastAsia="en-US"/>
        </w:rPr>
        <w:t>FINANCIJSKI RASHODI (skupina računa 44</w:t>
      </w:r>
      <w:r w:rsidRPr="001539F4">
        <w:rPr>
          <w:rFonts w:eastAsia="Calibri"/>
          <w:lang w:eastAsia="en-US"/>
        </w:rPr>
        <w:t xml:space="preserve">) </w:t>
      </w:r>
      <w:r w:rsidR="001539F4">
        <w:rPr>
          <w:rFonts w:eastAsia="Calibri"/>
          <w:lang w:eastAsia="en-US"/>
        </w:rPr>
        <w:t xml:space="preserve">planirani su u iznosu od 5.900,00 eura što predstavlja smanjenje od 87,1% u odnosu na plan 2024. godine. U okviru planiranih rashoda </w:t>
      </w:r>
      <w:r w:rsidR="00AC5A53">
        <w:rPr>
          <w:rFonts w:eastAsia="Calibri"/>
          <w:lang w:eastAsia="en-US"/>
        </w:rPr>
        <w:t>4.500,</w:t>
      </w:r>
      <w:r w:rsidR="000C7430">
        <w:rPr>
          <w:rFonts w:eastAsia="Calibri"/>
          <w:lang w:eastAsia="en-US"/>
        </w:rPr>
        <w:t>00</w:t>
      </w:r>
      <w:r w:rsidR="00AC5A53">
        <w:rPr>
          <w:rFonts w:eastAsia="Calibri"/>
          <w:lang w:eastAsia="en-US"/>
        </w:rPr>
        <w:t xml:space="preserve"> eura odnosi se na otplatu </w:t>
      </w:r>
      <w:r w:rsidR="00AC5A53" w:rsidRPr="00AC5A53">
        <w:rPr>
          <w:rFonts w:eastAsia="Calibri"/>
          <w:lang w:eastAsia="en-US"/>
        </w:rPr>
        <w:t>kamate na primljeni dugoročni kredit</w:t>
      </w:r>
      <w:r w:rsidR="000C7430">
        <w:rPr>
          <w:rFonts w:eastAsia="Calibri"/>
          <w:lang w:eastAsia="en-US"/>
        </w:rPr>
        <w:t xml:space="preserve">, </w:t>
      </w:r>
      <w:r w:rsidR="00455F99" w:rsidRPr="00FC3D10">
        <w:rPr>
          <w:rFonts w:eastAsia="Calibri"/>
          <w:lang w:eastAsia="en-US"/>
        </w:rPr>
        <w:t xml:space="preserve">700,00 eura na </w:t>
      </w:r>
      <w:r w:rsidR="00AC5A53" w:rsidRPr="00FC3D10">
        <w:rPr>
          <w:rFonts w:eastAsia="Calibri"/>
          <w:lang w:eastAsia="en-US"/>
        </w:rPr>
        <w:t xml:space="preserve">bankarske usluge i usluge platnog prometa, </w:t>
      </w:r>
      <w:r w:rsidR="00455F99" w:rsidRPr="00FC3D10">
        <w:rPr>
          <w:rFonts w:eastAsia="Calibri"/>
          <w:lang w:eastAsia="en-US"/>
        </w:rPr>
        <w:t xml:space="preserve">300,00 eura na </w:t>
      </w:r>
      <w:r w:rsidR="00AC5A53" w:rsidRPr="00FC3D10">
        <w:rPr>
          <w:rFonts w:eastAsia="Calibri"/>
          <w:lang w:eastAsia="en-US"/>
        </w:rPr>
        <w:t xml:space="preserve">zatezne kamate iz poslovnih odnosa i </w:t>
      </w:r>
      <w:r w:rsidR="00455F99" w:rsidRPr="00FC3D10">
        <w:rPr>
          <w:rFonts w:eastAsia="Calibri"/>
          <w:lang w:eastAsia="en-US"/>
        </w:rPr>
        <w:t xml:space="preserve">400,00 eura na </w:t>
      </w:r>
      <w:r w:rsidR="00AC5A53" w:rsidRPr="00FC3D10">
        <w:rPr>
          <w:rFonts w:eastAsia="Calibri"/>
          <w:lang w:eastAsia="en-US"/>
        </w:rPr>
        <w:t>ostale nespomenute financijske rashode</w:t>
      </w:r>
      <w:r w:rsidR="00455F99" w:rsidRPr="00FC3D10">
        <w:rPr>
          <w:rFonts w:eastAsia="Calibri"/>
          <w:lang w:eastAsia="en-US"/>
        </w:rPr>
        <w:t>.</w:t>
      </w:r>
    </w:p>
    <w:p w14:paraId="00350EA1" w14:textId="2B25DACC" w:rsidR="009750C9" w:rsidRDefault="00DB20B6" w:rsidP="00457D61">
      <w:pPr>
        <w:ind w:firstLine="426"/>
        <w:jc w:val="both"/>
        <w:rPr>
          <w:rFonts w:eastAsia="Calibri"/>
          <w:lang w:eastAsia="en-US"/>
        </w:rPr>
      </w:pPr>
      <w:r w:rsidRPr="00CC116B">
        <w:rPr>
          <w:rFonts w:eastAsia="Calibri"/>
          <w:u w:val="single"/>
          <w:lang w:eastAsia="en-US"/>
        </w:rPr>
        <w:lastRenderedPageBreak/>
        <w:t>OSTALI RASHODI</w:t>
      </w:r>
      <w:r w:rsidR="002D7D3D">
        <w:rPr>
          <w:rFonts w:eastAsia="Calibri"/>
          <w:u w:val="single"/>
          <w:lang w:eastAsia="en-US"/>
        </w:rPr>
        <w:t xml:space="preserve"> </w:t>
      </w:r>
      <w:r w:rsidRPr="00CC116B">
        <w:rPr>
          <w:rFonts w:eastAsia="Calibri"/>
          <w:u w:val="single"/>
          <w:lang w:eastAsia="en-US"/>
        </w:rPr>
        <w:t>(skupina računa 46</w:t>
      </w:r>
      <w:r w:rsidRPr="00CC116B">
        <w:rPr>
          <w:rFonts w:eastAsia="Calibri"/>
          <w:lang w:eastAsia="en-US"/>
        </w:rPr>
        <w:t>)</w:t>
      </w:r>
      <w:r w:rsidR="00997FFA">
        <w:rPr>
          <w:rFonts w:eastAsia="Calibri"/>
          <w:lang w:eastAsia="en-US"/>
        </w:rPr>
        <w:t xml:space="preserve"> </w:t>
      </w:r>
      <w:r w:rsidRPr="00CC116B">
        <w:rPr>
          <w:rFonts w:eastAsia="Calibri"/>
          <w:lang w:eastAsia="en-US"/>
        </w:rPr>
        <w:t xml:space="preserve">planirani </w:t>
      </w:r>
      <w:r w:rsidR="00297CAA" w:rsidRPr="00CC116B">
        <w:rPr>
          <w:rFonts w:eastAsia="Calibri"/>
          <w:lang w:eastAsia="en-US"/>
        </w:rPr>
        <w:t>su u 2025</w:t>
      </w:r>
      <w:r w:rsidRPr="00CC116B">
        <w:rPr>
          <w:rFonts w:eastAsia="Calibri"/>
          <w:lang w:eastAsia="en-US"/>
        </w:rPr>
        <w:t>. godini</w:t>
      </w:r>
      <w:r w:rsidR="00297CAA" w:rsidRPr="00CC116B">
        <w:rPr>
          <w:rFonts w:eastAsia="Calibri"/>
          <w:lang w:eastAsia="en-US"/>
        </w:rPr>
        <w:t xml:space="preserve"> u iznosu od 5.000,00 eura što predstavlja smanjenje za 34,2% u odnosu na 2024. godinu,</w:t>
      </w:r>
      <w:r w:rsidR="00997FFA">
        <w:rPr>
          <w:rFonts w:eastAsia="Calibri"/>
          <w:lang w:eastAsia="en-US"/>
        </w:rPr>
        <w:t xml:space="preserve"> </w:t>
      </w:r>
      <w:r w:rsidR="00297CAA" w:rsidRPr="00CC116B">
        <w:rPr>
          <w:rFonts w:eastAsia="Calibri"/>
          <w:lang w:eastAsia="en-US"/>
        </w:rPr>
        <w:t xml:space="preserve">a obuhvaćaju </w:t>
      </w:r>
      <w:r w:rsidR="00CC116B" w:rsidRPr="00CC116B">
        <w:rPr>
          <w:rFonts w:eastAsia="Calibri"/>
          <w:lang w:eastAsia="en-US"/>
        </w:rPr>
        <w:t>ostale nespomenute rashode</w:t>
      </w:r>
      <w:r w:rsidR="009750C9">
        <w:rPr>
          <w:rFonts w:eastAsia="Calibri"/>
          <w:lang w:eastAsia="en-US"/>
        </w:rPr>
        <w:t>, dok se rashodi za kazne, penale i naknade šteta u 2025. godini ne planiraju, a u 2024. godini su bili planirani u iznosu od 3.000,00 eura.</w:t>
      </w:r>
    </w:p>
    <w:p w14:paraId="50FE702A" w14:textId="77777777" w:rsidR="003E27F3" w:rsidRPr="00CC116B" w:rsidRDefault="003E27F3" w:rsidP="003E27F3">
      <w:pPr>
        <w:jc w:val="both"/>
        <w:rPr>
          <w:rFonts w:eastAsia="Calibri"/>
          <w:lang w:eastAsia="en-US"/>
        </w:rPr>
      </w:pPr>
    </w:p>
    <w:p w14:paraId="271453E8" w14:textId="77777777" w:rsidR="00DB20B6" w:rsidRPr="00F207B5" w:rsidRDefault="00DB20B6" w:rsidP="00457D61">
      <w:pPr>
        <w:ind w:firstLine="426"/>
        <w:jc w:val="both"/>
        <w:rPr>
          <w:rFonts w:eastAsia="Calibri"/>
          <w:lang w:eastAsia="en-US"/>
        </w:rPr>
      </w:pPr>
      <w:r w:rsidRPr="00F207B5">
        <w:rPr>
          <w:b/>
          <w:bCs/>
        </w:rPr>
        <w:t>RASHODI ZA NABAVU NEFINANCIJSKE IMOVINE U PRIPREMI (skupina računa 05)</w:t>
      </w:r>
    </w:p>
    <w:p w14:paraId="51E3B7B5" w14:textId="34526879" w:rsidR="00DB20B6" w:rsidRPr="00F207B5" w:rsidRDefault="00DB20B6" w:rsidP="00DB20B6">
      <w:pPr>
        <w:ind w:firstLine="708"/>
        <w:jc w:val="both"/>
        <w:rPr>
          <w:bCs/>
        </w:rPr>
      </w:pPr>
      <w:r w:rsidRPr="00F207B5">
        <w:t>Financijskim planom Lučke uprav</w:t>
      </w:r>
      <w:r w:rsidR="006945A8" w:rsidRPr="00F207B5">
        <w:t>e Senj za 2025</w:t>
      </w:r>
      <w:r w:rsidRPr="00F207B5">
        <w:t xml:space="preserve">. godinu </w:t>
      </w:r>
      <w:r w:rsidRPr="00F207B5">
        <w:rPr>
          <w:bCs/>
        </w:rPr>
        <w:t>rashodi za nabavu nefinancijske imovine u pripremi plani</w:t>
      </w:r>
      <w:r w:rsidR="00F207B5" w:rsidRPr="00F207B5">
        <w:rPr>
          <w:bCs/>
        </w:rPr>
        <w:t xml:space="preserve">raju se u iznosu od 1.630.600,00 eura ili </w:t>
      </w:r>
      <w:r w:rsidR="00F207B5">
        <w:rPr>
          <w:bCs/>
        </w:rPr>
        <w:t>69,</w:t>
      </w:r>
      <w:r w:rsidR="00F207B5" w:rsidRPr="00F207B5">
        <w:rPr>
          <w:bCs/>
        </w:rPr>
        <w:t>7% plana 2024</w:t>
      </w:r>
      <w:r w:rsidRPr="00F207B5">
        <w:rPr>
          <w:bCs/>
        </w:rPr>
        <w:t>. godine kada su isti</w:t>
      </w:r>
      <w:r w:rsidR="00F207B5" w:rsidRPr="00F207B5">
        <w:rPr>
          <w:bCs/>
        </w:rPr>
        <w:t xml:space="preserve"> planirani u iznosu od 2.340.418,06 </w:t>
      </w:r>
      <w:r w:rsidRPr="00F207B5">
        <w:rPr>
          <w:bCs/>
        </w:rPr>
        <w:t>eura. Uključuju građevinske objekte u pripremi planirane u izn</w:t>
      </w:r>
      <w:r w:rsidR="00F207B5" w:rsidRPr="00F207B5">
        <w:rPr>
          <w:bCs/>
        </w:rPr>
        <w:t>osu od 1.4</w:t>
      </w:r>
      <w:r w:rsidRPr="00F207B5">
        <w:rPr>
          <w:bCs/>
        </w:rPr>
        <w:t xml:space="preserve">00.000,00 eura, rashode za postrojenja i </w:t>
      </w:r>
      <w:r w:rsidR="00F207B5" w:rsidRPr="00F207B5">
        <w:rPr>
          <w:bCs/>
        </w:rPr>
        <w:t>opremu u pripremi u iznosu od 9.6</w:t>
      </w:r>
      <w:r w:rsidRPr="00F207B5">
        <w:rPr>
          <w:bCs/>
        </w:rPr>
        <w:t xml:space="preserve">00,00 eura i </w:t>
      </w:r>
      <w:r w:rsidR="00F207B5" w:rsidRPr="00F207B5">
        <w:rPr>
          <w:bCs/>
        </w:rPr>
        <w:t>ostalu nematerijalnu proizvedenu</w:t>
      </w:r>
      <w:r w:rsidRPr="00F207B5">
        <w:rPr>
          <w:bCs/>
        </w:rPr>
        <w:t xml:space="preserve"> imovinu u priprem</w:t>
      </w:r>
      <w:r w:rsidR="00F207B5" w:rsidRPr="00F207B5">
        <w:rPr>
          <w:bCs/>
        </w:rPr>
        <w:t>i planiranu  u iznosu od 221.000</w:t>
      </w:r>
      <w:r w:rsidRPr="00F207B5">
        <w:rPr>
          <w:bCs/>
        </w:rPr>
        <w:t>,00 eura.</w:t>
      </w:r>
    </w:p>
    <w:p w14:paraId="280B7F16" w14:textId="7D94F24D" w:rsidR="00DB20B6" w:rsidRPr="00F207B5" w:rsidRDefault="00F207B5" w:rsidP="00DB20B6">
      <w:pPr>
        <w:ind w:firstLine="708"/>
        <w:jc w:val="both"/>
        <w:rPr>
          <w:bCs/>
        </w:rPr>
      </w:pPr>
      <w:r w:rsidRPr="00F207B5">
        <w:rPr>
          <w:bCs/>
        </w:rPr>
        <w:t>Projekcijom za 2026</w:t>
      </w:r>
      <w:r w:rsidR="00DB20B6" w:rsidRPr="00F207B5">
        <w:rPr>
          <w:bCs/>
        </w:rPr>
        <w:t>. godinu rashodi za nabavu nefinancijske imovine u pripremi pl</w:t>
      </w:r>
      <w:r w:rsidRPr="00F207B5">
        <w:rPr>
          <w:bCs/>
        </w:rPr>
        <w:t>anirani su u iznosu od 2.937.000,00 eura, a Projekcijom za 2027. godinu isti iznose 3.477.000,00</w:t>
      </w:r>
      <w:r w:rsidR="00DB20B6" w:rsidRPr="00F207B5">
        <w:rPr>
          <w:bCs/>
        </w:rPr>
        <w:t xml:space="preserve"> eura.</w:t>
      </w:r>
    </w:p>
    <w:p w14:paraId="5C172AC9" w14:textId="77777777" w:rsidR="00DB20B6" w:rsidRPr="00BA38E9" w:rsidRDefault="00DB20B6" w:rsidP="00DB20B6">
      <w:pPr>
        <w:ind w:firstLine="708"/>
        <w:jc w:val="both"/>
        <w:rPr>
          <w:bCs/>
          <w:highlight w:val="yellow"/>
        </w:rPr>
      </w:pPr>
    </w:p>
    <w:p w14:paraId="7FD138E8" w14:textId="5EDE1451" w:rsidR="00DB20B6" w:rsidRPr="00BA38E9" w:rsidRDefault="00DB20B6" w:rsidP="00457D61">
      <w:pPr>
        <w:ind w:firstLine="426"/>
        <w:jc w:val="both"/>
        <w:rPr>
          <w:color w:val="000000"/>
        </w:rPr>
      </w:pPr>
      <w:r w:rsidRPr="00075D26">
        <w:rPr>
          <w:b/>
          <w:u w:val="single"/>
        </w:rPr>
        <w:t>OBVEZE ZA KREDITE I ZAJMOVE (skupina računa 26</w:t>
      </w:r>
      <w:r w:rsidRPr="00075D26">
        <w:t>) planirani iznos od 50.960,00 eura odnosi se na otplatu glavnice započetu u srpnju 2023. godine, temeljem ugovorenog dugoročnog kredita</w:t>
      </w:r>
      <w:r w:rsidRPr="00075D26">
        <w:rPr>
          <w:color w:val="000000"/>
        </w:rPr>
        <w:t xml:space="preserve"> Privredne banke Zagreb d.d. za izvođenj</w:t>
      </w:r>
      <w:r w:rsidR="001038DA">
        <w:rPr>
          <w:color w:val="000000"/>
        </w:rPr>
        <w:t>e</w:t>
      </w:r>
      <w:r w:rsidRPr="00075D26">
        <w:rPr>
          <w:color w:val="000000"/>
        </w:rPr>
        <w:t xml:space="preserve"> radova na dovršenju </w:t>
      </w:r>
      <w:r w:rsidR="004E68FB">
        <w:rPr>
          <w:color w:val="000000"/>
        </w:rPr>
        <w:t xml:space="preserve">poslovnog dijela </w:t>
      </w:r>
      <w:r w:rsidRPr="00075D26">
        <w:rPr>
          <w:color w:val="000000"/>
        </w:rPr>
        <w:t>zgrade - zajedničkih dijelova i posebnog dijela</w:t>
      </w:r>
      <w:r w:rsidR="004E68FB">
        <w:rPr>
          <w:color w:val="000000"/>
        </w:rPr>
        <w:t>.</w:t>
      </w:r>
    </w:p>
    <w:p w14:paraId="2C8D6E74" w14:textId="77777777" w:rsidR="00DB20B6" w:rsidRPr="00BA38E9" w:rsidRDefault="00DB20B6" w:rsidP="001138C4">
      <w:pPr>
        <w:jc w:val="both"/>
      </w:pPr>
    </w:p>
    <w:p w14:paraId="48D31CA0" w14:textId="77777777" w:rsidR="00DB20B6" w:rsidRPr="00BA38E9" w:rsidRDefault="00DB20B6" w:rsidP="00DB20B6"/>
    <w:p w14:paraId="65FE00B6" w14:textId="77777777" w:rsidR="00DB20B6" w:rsidRPr="00BA38E9" w:rsidRDefault="00DB20B6" w:rsidP="00DB20B6">
      <w:r w:rsidRPr="00BA38E9">
        <w:t>Pripremila:</w:t>
      </w:r>
    </w:p>
    <w:p w14:paraId="422BEF84" w14:textId="77777777" w:rsidR="00A64E9D" w:rsidRDefault="00A64E9D" w:rsidP="00A64E9D">
      <w:r>
        <w:t>Silva Katalinić, mag.oec.</w:t>
      </w:r>
    </w:p>
    <w:p w14:paraId="314C4041" w14:textId="77777777" w:rsidR="00A64E9D" w:rsidRDefault="00A64E9D" w:rsidP="00A64E9D"/>
    <w:p w14:paraId="3B055FBA" w14:textId="77777777" w:rsidR="00457D61" w:rsidRDefault="00457D61" w:rsidP="007E5A06">
      <w:pPr>
        <w:ind w:left="5040"/>
        <w:jc w:val="center"/>
        <w:rPr>
          <w:b/>
        </w:rPr>
      </w:pPr>
    </w:p>
    <w:p w14:paraId="741D7F12" w14:textId="250E920A" w:rsidR="00A64E9D" w:rsidRDefault="00A64E9D" w:rsidP="007E5A06">
      <w:pPr>
        <w:ind w:left="5040"/>
        <w:jc w:val="center"/>
      </w:pPr>
      <w:r>
        <w:rPr>
          <w:b/>
        </w:rPr>
        <w:t>RAVNATELJ</w:t>
      </w:r>
    </w:p>
    <w:p w14:paraId="73ED5188" w14:textId="77777777" w:rsidR="00A64E9D" w:rsidRDefault="00A64E9D" w:rsidP="007E5A06">
      <w:pPr>
        <w:ind w:left="720"/>
        <w:jc w:val="center"/>
      </w:pPr>
    </w:p>
    <w:p w14:paraId="7B571209" w14:textId="45E65B60" w:rsidR="00DB20B6" w:rsidRPr="00A64E9D" w:rsidRDefault="00DB20B6" w:rsidP="007E5A06">
      <w:pPr>
        <w:ind w:left="5040"/>
        <w:jc w:val="center"/>
      </w:pPr>
      <w:r w:rsidRPr="00BA38E9">
        <w:rPr>
          <w:b/>
        </w:rPr>
        <w:t>Ante Stipić, mag.oec.</w:t>
      </w:r>
    </w:p>
    <w:p w14:paraId="7A9630F0" w14:textId="77777777" w:rsidR="00683182" w:rsidRPr="00BA38E9" w:rsidRDefault="00683182" w:rsidP="00A64E9D">
      <w:pPr>
        <w:jc w:val="center"/>
      </w:pPr>
    </w:p>
    <w:sectPr w:rsidR="00683182" w:rsidRPr="00BA38E9" w:rsidSect="003975C9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5E8D4" w14:textId="77777777" w:rsidR="00211459" w:rsidRDefault="00211459">
      <w:r>
        <w:separator/>
      </w:r>
    </w:p>
  </w:endnote>
  <w:endnote w:type="continuationSeparator" w:id="0">
    <w:p w14:paraId="0B18F423" w14:textId="77777777" w:rsidR="00211459" w:rsidRDefault="0021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BEDD0" w14:textId="77777777" w:rsidR="00B768E5" w:rsidRDefault="00B768E5" w:rsidP="003975C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BF18DC" w14:textId="77777777" w:rsidR="00B768E5" w:rsidRDefault="00B768E5" w:rsidP="003975C9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3DAD6" w14:textId="77777777" w:rsidR="00B768E5" w:rsidRDefault="00B768E5" w:rsidP="003975C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A0A97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337F1C9C" w14:textId="77777777" w:rsidR="00B768E5" w:rsidRDefault="00B768E5" w:rsidP="003975C9">
    <w:pPr>
      <w:pStyle w:val="Podnoje"/>
      <w:ind w:right="360"/>
    </w:pPr>
  </w:p>
  <w:p w14:paraId="2E795BFC" w14:textId="77777777" w:rsidR="00B768E5" w:rsidRDefault="00B768E5" w:rsidP="003975C9">
    <w:pPr>
      <w:pStyle w:val="Podnoje"/>
      <w:ind w:right="360"/>
    </w:pPr>
  </w:p>
  <w:p w14:paraId="00CAA370" w14:textId="77777777" w:rsidR="00B768E5" w:rsidRDefault="00B768E5" w:rsidP="003975C9">
    <w:pPr>
      <w:pStyle w:val="Podnoje"/>
      <w:ind w:right="360"/>
    </w:pPr>
  </w:p>
  <w:p w14:paraId="78ECA317" w14:textId="77777777" w:rsidR="00B768E5" w:rsidRDefault="00B768E5" w:rsidP="003975C9">
    <w:pPr>
      <w:pStyle w:val="Podnoje"/>
      <w:ind w:right="360"/>
    </w:pPr>
  </w:p>
  <w:p w14:paraId="29398FAC" w14:textId="77777777" w:rsidR="00B768E5" w:rsidRDefault="00B768E5" w:rsidP="003975C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59955" w14:textId="77777777" w:rsidR="00211459" w:rsidRDefault="00211459">
      <w:r>
        <w:separator/>
      </w:r>
    </w:p>
  </w:footnote>
  <w:footnote w:type="continuationSeparator" w:id="0">
    <w:p w14:paraId="057761D7" w14:textId="77777777" w:rsidR="00211459" w:rsidRDefault="0021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16AFF"/>
    <w:multiLevelType w:val="hybridMultilevel"/>
    <w:tmpl w:val="90D84EC8"/>
    <w:lvl w:ilvl="0" w:tplc="041A0001">
      <w:start w:val="1"/>
      <w:numFmt w:val="bullet"/>
      <w:lvlText w:val=""/>
      <w:lvlJc w:val="left"/>
      <w:pPr>
        <w:ind w:left="-2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</w:abstractNum>
  <w:abstractNum w:abstractNumId="1" w15:restartNumberingAfterBreak="0">
    <w:nsid w:val="7A167593"/>
    <w:multiLevelType w:val="hybridMultilevel"/>
    <w:tmpl w:val="9190B3A0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40146581">
    <w:abstractNumId w:val="0"/>
  </w:num>
  <w:num w:numId="2" w16cid:durableId="133001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0B6"/>
    <w:rsid w:val="00026C64"/>
    <w:rsid w:val="000372B5"/>
    <w:rsid w:val="00052C03"/>
    <w:rsid w:val="0005537F"/>
    <w:rsid w:val="00073131"/>
    <w:rsid w:val="000740C4"/>
    <w:rsid w:val="00075D26"/>
    <w:rsid w:val="00076A30"/>
    <w:rsid w:val="0008414F"/>
    <w:rsid w:val="000B51EC"/>
    <w:rsid w:val="000B624F"/>
    <w:rsid w:val="000C0EA4"/>
    <w:rsid w:val="000C7430"/>
    <w:rsid w:val="000E5B3D"/>
    <w:rsid w:val="00102CBD"/>
    <w:rsid w:val="001038DA"/>
    <w:rsid w:val="001138C4"/>
    <w:rsid w:val="001539F4"/>
    <w:rsid w:val="00167EC5"/>
    <w:rsid w:val="00174049"/>
    <w:rsid w:val="001F6325"/>
    <w:rsid w:val="00211459"/>
    <w:rsid w:val="00281F23"/>
    <w:rsid w:val="002841A7"/>
    <w:rsid w:val="00297CAA"/>
    <w:rsid w:val="002D7D3D"/>
    <w:rsid w:val="002F115B"/>
    <w:rsid w:val="00305430"/>
    <w:rsid w:val="003202F6"/>
    <w:rsid w:val="0032258E"/>
    <w:rsid w:val="00331A24"/>
    <w:rsid w:val="003503CF"/>
    <w:rsid w:val="003634EE"/>
    <w:rsid w:val="00367D91"/>
    <w:rsid w:val="00381FD1"/>
    <w:rsid w:val="00384F99"/>
    <w:rsid w:val="003975C9"/>
    <w:rsid w:val="003A73C7"/>
    <w:rsid w:val="003C5B19"/>
    <w:rsid w:val="003D6211"/>
    <w:rsid w:val="003E27F3"/>
    <w:rsid w:val="003E665C"/>
    <w:rsid w:val="004036DF"/>
    <w:rsid w:val="00435E79"/>
    <w:rsid w:val="00436ACF"/>
    <w:rsid w:val="00450CA6"/>
    <w:rsid w:val="00455F99"/>
    <w:rsid w:val="00456CA0"/>
    <w:rsid w:val="00457D61"/>
    <w:rsid w:val="004870E5"/>
    <w:rsid w:val="004E5CC6"/>
    <w:rsid w:val="004E68FB"/>
    <w:rsid w:val="00563BF5"/>
    <w:rsid w:val="00574341"/>
    <w:rsid w:val="00577D82"/>
    <w:rsid w:val="005901E7"/>
    <w:rsid w:val="00591569"/>
    <w:rsid w:val="00594814"/>
    <w:rsid w:val="005B378F"/>
    <w:rsid w:val="005F205B"/>
    <w:rsid w:val="00621472"/>
    <w:rsid w:val="00673F3C"/>
    <w:rsid w:val="00683182"/>
    <w:rsid w:val="006945A8"/>
    <w:rsid w:val="006B424B"/>
    <w:rsid w:val="0071026D"/>
    <w:rsid w:val="00715367"/>
    <w:rsid w:val="007236D5"/>
    <w:rsid w:val="007A70E0"/>
    <w:rsid w:val="007C2E3D"/>
    <w:rsid w:val="007E1702"/>
    <w:rsid w:val="007E5A06"/>
    <w:rsid w:val="007E78C9"/>
    <w:rsid w:val="00836837"/>
    <w:rsid w:val="00890BEF"/>
    <w:rsid w:val="008D4FE2"/>
    <w:rsid w:val="00920838"/>
    <w:rsid w:val="0093324F"/>
    <w:rsid w:val="00944B71"/>
    <w:rsid w:val="00950E08"/>
    <w:rsid w:val="00960E5F"/>
    <w:rsid w:val="00972EF1"/>
    <w:rsid w:val="009750C9"/>
    <w:rsid w:val="00997FFA"/>
    <w:rsid w:val="009E6F8A"/>
    <w:rsid w:val="009F4381"/>
    <w:rsid w:val="00A05ED0"/>
    <w:rsid w:val="00A22D9D"/>
    <w:rsid w:val="00A64E9D"/>
    <w:rsid w:val="00A65197"/>
    <w:rsid w:val="00AC5A53"/>
    <w:rsid w:val="00AE21A5"/>
    <w:rsid w:val="00AE34E1"/>
    <w:rsid w:val="00B768E5"/>
    <w:rsid w:val="00BA2FF5"/>
    <w:rsid w:val="00BA38E9"/>
    <w:rsid w:val="00BB6904"/>
    <w:rsid w:val="00BC66EB"/>
    <w:rsid w:val="00C44AC4"/>
    <w:rsid w:val="00CC116B"/>
    <w:rsid w:val="00CC1E1D"/>
    <w:rsid w:val="00CD15B5"/>
    <w:rsid w:val="00CF755B"/>
    <w:rsid w:val="00D04D9C"/>
    <w:rsid w:val="00D065C5"/>
    <w:rsid w:val="00D353CC"/>
    <w:rsid w:val="00DA08BC"/>
    <w:rsid w:val="00DB20B6"/>
    <w:rsid w:val="00DC5D50"/>
    <w:rsid w:val="00DD42C5"/>
    <w:rsid w:val="00DF551A"/>
    <w:rsid w:val="00E03F65"/>
    <w:rsid w:val="00E241EE"/>
    <w:rsid w:val="00E26042"/>
    <w:rsid w:val="00E2724A"/>
    <w:rsid w:val="00E3649C"/>
    <w:rsid w:val="00E54032"/>
    <w:rsid w:val="00E731C3"/>
    <w:rsid w:val="00E77320"/>
    <w:rsid w:val="00E84877"/>
    <w:rsid w:val="00E86DA1"/>
    <w:rsid w:val="00E96212"/>
    <w:rsid w:val="00EA0A97"/>
    <w:rsid w:val="00EB330A"/>
    <w:rsid w:val="00EB6718"/>
    <w:rsid w:val="00ED002A"/>
    <w:rsid w:val="00F207B5"/>
    <w:rsid w:val="00F25348"/>
    <w:rsid w:val="00F474F5"/>
    <w:rsid w:val="00F57A8B"/>
    <w:rsid w:val="00F60280"/>
    <w:rsid w:val="00F67FB9"/>
    <w:rsid w:val="00F945E0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8597"/>
  <w15:docId w15:val="{9C611A07-FC11-42C5-A05E-009E2B78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B20B6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rsid w:val="00DB20B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rsid w:val="00DB20B6"/>
  </w:style>
  <w:style w:type="paragraph" w:styleId="Tekstbalonia">
    <w:name w:val="Balloon Text"/>
    <w:basedOn w:val="Normal"/>
    <w:link w:val="TekstbaloniaChar"/>
    <w:uiPriority w:val="99"/>
    <w:semiHidden/>
    <w:unhideWhenUsed/>
    <w:rsid w:val="00C44A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AC4"/>
    <w:rPr>
      <w:rFonts w:ascii="Tahoma" w:eastAsia="Times New Roman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CD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Katalinić</dc:creator>
  <cp:keywords/>
  <dc:description/>
  <cp:lastModifiedBy>Silva Katalinić</cp:lastModifiedBy>
  <cp:revision>117</cp:revision>
  <cp:lastPrinted>2024-12-02T12:18:00Z</cp:lastPrinted>
  <dcterms:created xsi:type="dcterms:W3CDTF">2023-12-12T13:19:00Z</dcterms:created>
  <dcterms:modified xsi:type="dcterms:W3CDTF">2024-12-02T12:30:00Z</dcterms:modified>
</cp:coreProperties>
</file>